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F17B" w14:textId="77777777" w:rsidR="005160B4" w:rsidRPr="00EC79FD" w:rsidRDefault="005160B4" w:rsidP="004C49AF">
      <w:pPr>
        <w:widowControl w:val="0"/>
        <w:autoSpaceDE w:val="0"/>
        <w:autoSpaceDN w:val="0"/>
        <w:adjustRightInd w:val="0"/>
        <w:spacing w:after="0" w:line="240" w:lineRule="auto"/>
        <w:rPr>
          <w:rFonts w:ascii="Times New Roman" w:eastAsia="Times New Roman" w:hAnsi="Times New Roman" w:cs="Times New Roman"/>
          <w:sz w:val="24"/>
          <w:szCs w:val="24"/>
        </w:rPr>
      </w:pPr>
    </w:p>
    <w:p w14:paraId="6C082DF1" w14:textId="77777777" w:rsidR="00C05A19" w:rsidRDefault="00C05A19" w:rsidP="00C05A19">
      <w:pPr>
        <w:widowControl w:val="0"/>
        <w:autoSpaceDE w:val="0"/>
        <w:autoSpaceDN w:val="0"/>
        <w:adjustRightInd w:val="0"/>
        <w:spacing w:after="0" w:line="200" w:lineRule="exact"/>
        <w:rPr>
          <w:rFonts w:ascii="Times New Roman" w:hAnsi="Times New Roman"/>
          <w:sz w:val="24"/>
          <w:szCs w:val="24"/>
        </w:rPr>
      </w:pPr>
      <w:bookmarkStart w:id="0" w:name="_Hlk30407050"/>
    </w:p>
    <w:p w14:paraId="10D75CD5" w14:textId="77777777" w:rsidR="00C05A19" w:rsidRDefault="00C05A19" w:rsidP="00C05A19">
      <w:pPr>
        <w:widowControl w:val="0"/>
        <w:autoSpaceDE w:val="0"/>
        <w:autoSpaceDN w:val="0"/>
        <w:adjustRightInd w:val="0"/>
        <w:spacing w:after="0" w:line="200" w:lineRule="exact"/>
        <w:rPr>
          <w:rFonts w:ascii="Times New Roman" w:hAnsi="Times New Roman"/>
          <w:sz w:val="24"/>
          <w:szCs w:val="24"/>
        </w:rPr>
      </w:pPr>
      <w:bookmarkStart w:id="1" w:name="page1"/>
      <w:bookmarkEnd w:id="1"/>
    </w:p>
    <w:p w14:paraId="3111089C" w14:textId="346060AB" w:rsidR="00C05A19" w:rsidRDefault="00C05A19" w:rsidP="00C05A19">
      <w:pPr>
        <w:tabs>
          <w:tab w:val="left" w:pos="7950"/>
        </w:tabs>
        <w:spacing w:line="256" w:lineRule="auto"/>
        <w:jc w:val="center"/>
        <w:rPr>
          <w:rFonts w:ascii="Arial" w:hAnsi="Arial"/>
        </w:rPr>
      </w:pPr>
      <w:r>
        <w:rPr>
          <w:noProof/>
        </w:rPr>
        <w:drawing>
          <wp:inline distT="0" distB="0" distL="0" distR="0" wp14:anchorId="135103DB" wp14:editId="368F5944">
            <wp:extent cx="1628775" cy="676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676275"/>
                    </a:xfrm>
                    <a:prstGeom prst="rect">
                      <a:avLst/>
                    </a:prstGeom>
                    <a:noFill/>
                    <a:ln>
                      <a:noFill/>
                    </a:ln>
                  </pic:spPr>
                </pic:pic>
              </a:graphicData>
            </a:graphic>
          </wp:inline>
        </w:drawing>
      </w:r>
      <w:r>
        <w:rPr>
          <w:rFonts w:ascii="Arial" w:hAnsi="Arial"/>
          <w:noProof/>
          <w:lang w:val="en-JM" w:eastAsia="en-JM"/>
        </w:rPr>
        <w:drawing>
          <wp:inline distT="0" distB="0" distL="0" distR="0" wp14:anchorId="260DA0D5" wp14:editId="521410A3">
            <wp:extent cx="1685925" cy="923925"/>
            <wp:effectExtent l="0" t="0" r="9525" b="9525"/>
            <wp:docPr id="5" name="Picture 5" descr="A picture containing text, doll,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oll, to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923925"/>
                    </a:xfrm>
                    <a:prstGeom prst="rect">
                      <a:avLst/>
                    </a:prstGeom>
                    <a:noFill/>
                    <a:ln>
                      <a:noFill/>
                    </a:ln>
                  </pic:spPr>
                </pic:pic>
              </a:graphicData>
            </a:graphic>
          </wp:inline>
        </w:drawing>
      </w:r>
      <w:r>
        <w:rPr>
          <w:rFonts w:ascii="Arial" w:hAnsi="Arial"/>
          <w:noProof/>
          <w:lang w:val="en-JM" w:eastAsia="en-JM"/>
        </w:rPr>
        <w:drawing>
          <wp:inline distT="0" distB="0" distL="0" distR="0" wp14:anchorId="73DFCEA9" wp14:editId="3B58FE1F">
            <wp:extent cx="1905000" cy="92392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p>
    <w:bookmarkEnd w:id="0"/>
    <w:p w14:paraId="7584091B" w14:textId="77777777" w:rsidR="00C05A19" w:rsidRDefault="00C05A19" w:rsidP="00C05A19">
      <w:pPr>
        <w:widowControl w:val="0"/>
        <w:autoSpaceDE w:val="0"/>
        <w:autoSpaceDN w:val="0"/>
        <w:adjustRightInd w:val="0"/>
        <w:spacing w:after="0" w:line="240" w:lineRule="auto"/>
        <w:ind w:left="2480"/>
        <w:rPr>
          <w:rFonts w:ascii="Times New Roman" w:hAnsi="Times New Roman"/>
          <w:color w:val="002060"/>
          <w:sz w:val="24"/>
          <w:szCs w:val="24"/>
        </w:rPr>
      </w:pPr>
      <w:r>
        <w:rPr>
          <w:rFonts w:ascii="Times New Roman" w:hAnsi="Times New Roman"/>
          <w:b/>
          <w:bCs/>
          <w:color w:val="002060"/>
          <w:sz w:val="24"/>
          <w:szCs w:val="24"/>
        </w:rPr>
        <w:t>REQUEST FOR EXPRESSIONS OF INTEREST</w:t>
      </w:r>
    </w:p>
    <w:p w14:paraId="655E591A" w14:textId="77777777" w:rsidR="00C05A19" w:rsidRDefault="00C05A19" w:rsidP="00C05A19">
      <w:pPr>
        <w:widowControl w:val="0"/>
        <w:autoSpaceDE w:val="0"/>
        <w:autoSpaceDN w:val="0"/>
        <w:adjustRightInd w:val="0"/>
        <w:spacing w:after="0" w:line="240" w:lineRule="auto"/>
        <w:ind w:left="3480"/>
        <w:rPr>
          <w:rFonts w:ascii="Times New Roman" w:hAnsi="Times New Roman"/>
          <w:b/>
          <w:bCs/>
          <w:color w:val="002060"/>
          <w:sz w:val="24"/>
          <w:szCs w:val="24"/>
        </w:rPr>
      </w:pPr>
      <w:r>
        <w:rPr>
          <w:rFonts w:ascii="Times New Roman" w:hAnsi="Times New Roman"/>
          <w:b/>
          <w:bCs/>
          <w:color w:val="002060"/>
          <w:sz w:val="24"/>
          <w:szCs w:val="24"/>
        </w:rPr>
        <w:t>CONSULTANCY SERVICES</w:t>
      </w:r>
    </w:p>
    <w:p w14:paraId="6F8D23DE" w14:textId="77777777" w:rsidR="00C05A19" w:rsidRDefault="00C05A19" w:rsidP="00C05A19">
      <w:pPr>
        <w:widowControl w:val="0"/>
        <w:autoSpaceDE w:val="0"/>
        <w:autoSpaceDN w:val="0"/>
        <w:adjustRightInd w:val="0"/>
        <w:spacing w:after="0" w:line="240" w:lineRule="auto"/>
        <w:rPr>
          <w:rFonts w:ascii="Times New Roman" w:hAnsi="Times New Roman"/>
          <w:color w:val="000000"/>
          <w:sz w:val="24"/>
          <w:szCs w:val="24"/>
        </w:rPr>
      </w:pPr>
    </w:p>
    <w:p w14:paraId="14A5EB4B" w14:textId="77777777" w:rsidR="00C05A19" w:rsidRDefault="00C05A19" w:rsidP="00C05A19">
      <w:pPr>
        <w:spacing w:after="0"/>
        <w:rPr>
          <w:rFonts w:ascii="Times New Roman" w:hAnsi="Times New Roman"/>
          <w:bCs/>
          <w:color w:val="000000"/>
        </w:rPr>
      </w:pPr>
      <w:r>
        <w:rPr>
          <w:rFonts w:ascii="Times New Roman" w:hAnsi="Times New Roman"/>
          <w:bCs/>
          <w:color w:val="000000"/>
        </w:rPr>
        <w:t xml:space="preserve">Boosting Innovation, Growth and Entrepreneurship Ecosystems (BIGEE) </w:t>
      </w:r>
      <w:proofErr w:type="spellStart"/>
      <w:r>
        <w:rPr>
          <w:rFonts w:ascii="Times New Roman" w:hAnsi="Times New Roman"/>
          <w:bCs/>
          <w:color w:val="000000"/>
        </w:rPr>
        <w:t>Programme</w:t>
      </w:r>
      <w:proofErr w:type="spellEnd"/>
      <w:r>
        <w:rPr>
          <w:rFonts w:ascii="Times New Roman" w:hAnsi="Times New Roman"/>
          <w:bCs/>
          <w:color w:val="000000"/>
        </w:rPr>
        <w:t xml:space="preserve"> </w:t>
      </w:r>
    </w:p>
    <w:p w14:paraId="3C406899" w14:textId="77777777" w:rsidR="00C05A19" w:rsidRDefault="00C05A19" w:rsidP="00C05A19">
      <w:pPr>
        <w:spacing w:after="0"/>
        <w:rPr>
          <w:rFonts w:ascii="Times New Roman" w:hAnsi="Times New Roman"/>
          <w:bCs/>
          <w:color w:val="000000"/>
        </w:rPr>
      </w:pPr>
      <w:r>
        <w:rPr>
          <w:rFonts w:ascii="Times New Roman" w:hAnsi="Times New Roman"/>
          <w:bCs/>
          <w:color w:val="000000"/>
        </w:rPr>
        <w:t>ASSIGNMENT</w:t>
      </w:r>
      <w:bookmarkStart w:id="2" w:name="_Hlk22130496"/>
      <w:r>
        <w:rPr>
          <w:rFonts w:ascii="Times New Roman" w:hAnsi="Times New Roman"/>
          <w:bCs/>
          <w:color w:val="000000"/>
        </w:rPr>
        <w:t>:</w:t>
      </w:r>
      <w:r>
        <w:rPr>
          <w:rFonts w:ascii="Times New Roman" w:hAnsi="Times New Roman"/>
          <w:b/>
          <w:bCs/>
          <w:color w:val="000000"/>
        </w:rPr>
        <w:t xml:space="preserve">  </w:t>
      </w:r>
      <w:bookmarkEnd w:id="2"/>
      <w:r>
        <w:rPr>
          <w:rFonts w:ascii="Times New Roman" w:hAnsi="Times New Roman"/>
          <w:bCs/>
          <w:color w:val="000000"/>
        </w:rPr>
        <w:t>Assessing the entrepreneurial and business landscape &amp; identifying solutions to increase the participation of Women in Entrepreneurship in Jamaica</w:t>
      </w:r>
      <w:r>
        <w:rPr>
          <w:rFonts w:ascii="Times New Roman" w:hAnsi="Times New Roman"/>
          <w:b/>
          <w:bCs/>
          <w:i/>
          <w:iCs/>
          <w:color w:val="000000"/>
        </w:rPr>
        <w:t xml:space="preserve"> </w:t>
      </w:r>
    </w:p>
    <w:p w14:paraId="0DF992F2" w14:textId="77777777" w:rsidR="00C05A19" w:rsidRDefault="00C05A19" w:rsidP="00C05A19">
      <w:pPr>
        <w:spacing w:after="0"/>
        <w:rPr>
          <w:rFonts w:ascii="Times New Roman" w:hAnsi="Times New Roman"/>
          <w:b/>
          <w:bCs/>
          <w:color w:val="000000"/>
        </w:rPr>
      </w:pPr>
      <w:r>
        <w:rPr>
          <w:rFonts w:ascii="Times New Roman" w:hAnsi="Times New Roman"/>
          <w:b/>
          <w:bCs/>
          <w:color w:val="000000"/>
        </w:rPr>
        <w:t>PROJECT #: JA-O0010 /JA-L1085</w:t>
      </w:r>
    </w:p>
    <w:p w14:paraId="3A870DD4" w14:textId="77777777" w:rsidR="00C05A19" w:rsidRDefault="00C05A19" w:rsidP="00C05A19">
      <w:pPr>
        <w:spacing w:after="0"/>
        <w:rPr>
          <w:rFonts w:ascii="Times New Roman" w:hAnsi="Times New Roman"/>
          <w:color w:val="000000"/>
        </w:rPr>
      </w:pPr>
      <w:r>
        <w:rPr>
          <w:rFonts w:ascii="Times New Roman" w:hAnsi="Times New Roman"/>
          <w:b/>
          <w:bCs/>
          <w:color w:val="000000"/>
        </w:rPr>
        <w:t xml:space="preserve">Procurement ID #: </w:t>
      </w:r>
      <w:r>
        <w:rPr>
          <w:rFonts w:ascii="Times New Roman" w:hAnsi="Times New Roman"/>
          <w:color w:val="000000"/>
        </w:rPr>
        <w:t>JA-L1085-P74389</w:t>
      </w:r>
    </w:p>
    <w:p w14:paraId="6A2A5588" w14:textId="77777777" w:rsidR="00C05A19" w:rsidRDefault="00C05A19" w:rsidP="00C05A19">
      <w:pPr>
        <w:spacing w:after="0"/>
        <w:rPr>
          <w:rFonts w:ascii="Times New Roman" w:hAnsi="Times New Roman"/>
          <w:b/>
          <w:bCs/>
          <w:i/>
          <w:color w:val="000000"/>
        </w:rPr>
      </w:pPr>
      <w:r>
        <w:rPr>
          <w:rFonts w:ascii="Times New Roman" w:hAnsi="Times New Roman"/>
          <w:b/>
          <w:bCs/>
          <w:color w:val="000000"/>
        </w:rPr>
        <w:t>Associated WBS #:4.2.1</w:t>
      </w:r>
    </w:p>
    <w:p w14:paraId="7520223D" w14:textId="77777777" w:rsidR="00C05A19" w:rsidRDefault="00C05A19" w:rsidP="00C05A1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bCs/>
          <w:color w:val="000000"/>
        </w:rPr>
        <w:t xml:space="preserve">SELECTION METHOD: </w:t>
      </w:r>
      <w:bookmarkStart w:id="3" w:name="_Hlk33432740"/>
      <w:r>
        <w:rPr>
          <w:rFonts w:ascii="Times New Roman" w:hAnsi="Times New Roman"/>
          <w:bCs/>
          <w:color w:val="000000"/>
        </w:rPr>
        <w:t>Selection Based on the Consultants Qualification (CQS)</w:t>
      </w:r>
    </w:p>
    <w:bookmarkEnd w:id="3"/>
    <w:p w14:paraId="6CCE6436" w14:textId="1A36684A" w:rsidR="00C05A19" w:rsidRDefault="00C05A19" w:rsidP="00C05A19">
      <w:pPr>
        <w:widowControl w:val="0"/>
        <w:autoSpaceDE w:val="0"/>
        <w:autoSpaceDN w:val="0"/>
        <w:adjustRightInd w:val="0"/>
        <w:spacing w:after="0" w:line="298" w:lineRule="exact"/>
        <w:rPr>
          <w:rFonts w:ascii="Times New Roman" w:hAnsi="Times New Roman"/>
          <w:color w:val="000000"/>
          <w:sz w:val="24"/>
          <w:szCs w:val="24"/>
        </w:rPr>
      </w:pPr>
      <w:r>
        <w:rPr>
          <w:rFonts w:ascii="Calibri" w:hAnsi="Calibri"/>
          <w:noProof/>
        </w:rPr>
        <mc:AlternateContent>
          <mc:Choice Requires="wps">
            <w:drawing>
              <wp:anchor distT="0" distB="0" distL="114300" distR="114300" simplePos="0" relativeHeight="251658240" behindDoc="1" locked="0" layoutInCell="0" allowOverlap="1" wp14:anchorId="7751AC6F" wp14:editId="4BBFDAB6">
                <wp:simplePos x="0" y="0"/>
                <wp:positionH relativeFrom="column">
                  <wp:posOffset>-17780</wp:posOffset>
                </wp:positionH>
                <wp:positionV relativeFrom="paragraph">
                  <wp:posOffset>34925</wp:posOffset>
                </wp:positionV>
                <wp:extent cx="6436360" cy="0"/>
                <wp:effectExtent l="10795" t="15875" r="1079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8925"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75pt" to="505.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" o:allowincell="f" strokeweight="1.44pt"/>
            </w:pict>
          </mc:Fallback>
        </mc:AlternateContent>
      </w:r>
    </w:p>
    <w:p w14:paraId="44E754BE" w14:textId="77777777" w:rsidR="00C05A19" w:rsidRDefault="00C05A19" w:rsidP="00C05A19">
      <w:pPr>
        <w:spacing w:after="0"/>
        <w:jc w:val="both"/>
        <w:rPr>
          <w:rFonts w:ascii="Times New Roman" w:hAnsi="Times New Roman"/>
          <w:bCs/>
          <w:color w:val="000000"/>
          <w:sz w:val="20"/>
          <w:szCs w:val="20"/>
        </w:rPr>
      </w:pPr>
      <w:r>
        <w:rPr>
          <w:rFonts w:ascii="Times New Roman" w:hAnsi="Times New Roman"/>
          <w:color w:val="000000"/>
          <w:sz w:val="20"/>
          <w:szCs w:val="20"/>
        </w:rPr>
        <w:t>The Development Bank of Jamaica (DBJ) through the Government of Jamaica (</w:t>
      </w:r>
      <w:proofErr w:type="spellStart"/>
      <w:r>
        <w:rPr>
          <w:rFonts w:ascii="Times New Roman" w:hAnsi="Times New Roman"/>
          <w:color w:val="000000"/>
          <w:sz w:val="20"/>
          <w:szCs w:val="20"/>
        </w:rPr>
        <w:t>GoJ</w:t>
      </w:r>
      <w:proofErr w:type="spellEnd"/>
      <w:r>
        <w:rPr>
          <w:rFonts w:ascii="Times New Roman" w:hAnsi="Times New Roman"/>
          <w:color w:val="000000"/>
          <w:sz w:val="20"/>
          <w:szCs w:val="20"/>
        </w:rPr>
        <w:t xml:space="preserve">) has received a grant from the EU towards the cost of the Boosting Innovation, Growth and Entrepreneurship Ecosystems (BIGEE) </w:t>
      </w:r>
      <w:proofErr w:type="spellStart"/>
      <w:r>
        <w:rPr>
          <w:rFonts w:ascii="Times New Roman" w:hAnsi="Times New Roman"/>
          <w:color w:val="000000"/>
          <w:sz w:val="20"/>
          <w:szCs w:val="20"/>
        </w:rPr>
        <w:t>Programme</w:t>
      </w:r>
      <w:proofErr w:type="spellEnd"/>
      <w:r>
        <w:rPr>
          <w:rFonts w:ascii="Times New Roman" w:hAnsi="Times New Roman"/>
          <w:color w:val="000000"/>
          <w:sz w:val="20"/>
          <w:szCs w:val="20"/>
        </w:rPr>
        <w:t xml:space="preserve">, specifically to </w:t>
      </w:r>
      <w:bookmarkStart w:id="4" w:name="_Hlk75456707"/>
      <w:r>
        <w:rPr>
          <w:rFonts w:ascii="Times New Roman" w:hAnsi="Times New Roman"/>
          <w:color w:val="000000"/>
          <w:sz w:val="20"/>
          <w:szCs w:val="20"/>
        </w:rPr>
        <w:t xml:space="preserve">change the landscape to be more inclusive of female entrepreneurship in Jamaica by reducing the barriers that prevent the widespread growth of these businesses. </w:t>
      </w:r>
      <w:r>
        <w:rPr>
          <w:rFonts w:ascii="Times New Roman" w:hAnsi="Times New Roman"/>
          <w:bCs/>
          <w:color w:val="000000"/>
          <w:sz w:val="20"/>
          <w:szCs w:val="20"/>
        </w:rPr>
        <w:t xml:space="preserve">The initiatives of the BIGEE </w:t>
      </w:r>
      <w:proofErr w:type="spellStart"/>
      <w:r>
        <w:rPr>
          <w:rFonts w:ascii="Times New Roman" w:hAnsi="Times New Roman"/>
          <w:bCs/>
          <w:color w:val="000000"/>
          <w:sz w:val="20"/>
          <w:szCs w:val="20"/>
        </w:rPr>
        <w:t>programme</w:t>
      </w:r>
      <w:proofErr w:type="spellEnd"/>
      <w:r>
        <w:rPr>
          <w:rFonts w:ascii="Times New Roman" w:hAnsi="Times New Roman"/>
          <w:bCs/>
          <w:color w:val="000000"/>
          <w:sz w:val="20"/>
          <w:szCs w:val="20"/>
        </w:rPr>
        <w:t>, expected to be used to drive these changes include, but are not limited to:</w:t>
      </w:r>
    </w:p>
    <w:p w14:paraId="79AAD0DD" w14:textId="77777777" w:rsidR="00C05A19" w:rsidRDefault="00C05A19" w:rsidP="00C05A19">
      <w:pPr>
        <w:numPr>
          <w:ilvl w:val="0"/>
          <w:numId w:val="38"/>
        </w:numPr>
        <w:spacing w:after="0" w:line="276" w:lineRule="auto"/>
        <w:jc w:val="both"/>
        <w:rPr>
          <w:rFonts w:ascii="Times New Roman" w:hAnsi="Times New Roman"/>
          <w:bCs/>
          <w:color w:val="000000"/>
          <w:sz w:val="20"/>
          <w:szCs w:val="20"/>
        </w:rPr>
      </w:pPr>
      <w:r>
        <w:rPr>
          <w:rFonts w:ascii="Times New Roman" w:hAnsi="Times New Roman"/>
          <w:bCs/>
          <w:color w:val="000000"/>
          <w:sz w:val="20"/>
          <w:szCs w:val="20"/>
        </w:rPr>
        <w:t>Innovation Grant Fund</w:t>
      </w:r>
    </w:p>
    <w:p w14:paraId="291BB84E" w14:textId="77777777" w:rsidR="00C05A19" w:rsidRDefault="00C05A19" w:rsidP="00C05A19">
      <w:pPr>
        <w:numPr>
          <w:ilvl w:val="0"/>
          <w:numId w:val="38"/>
        </w:numPr>
        <w:spacing w:after="0" w:line="276" w:lineRule="auto"/>
        <w:jc w:val="both"/>
        <w:rPr>
          <w:rFonts w:ascii="Times New Roman" w:hAnsi="Times New Roman"/>
          <w:bCs/>
          <w:color w:val="000000"/>
          <w:sz w:val="20"/>
          <w:szCs w:val="20"/>
        </w:rPr>
      </w:pPr>
      <w:r>
        <w:rPr>
          <w:rFonts w:ascii="Times New Roman" w:hAnsi="Times New Roman"/>
          <w:bCs/>
          <w:color w:val="000000"/>
          <w:sz w:val="20"/>
          <w:szCs w:val="20"/>
        </w:rPr>
        <w:t xml:space="preserve">Pre-Incubation, Incubation and Acceleration </w:t>
      </w:r>
      <w:proofErr w:type="spellStart"/>
      <w:r>
        <w:rPr>
          <w:rFonts w:ascii="Times New Roman" w:hAnsi="Times New Roman"/>
          <w:bCs/>
          <w:color w:val="000000"/>
          <w:sz w:val="20"/>
          <w:szCs w:val="20"/>
        </w:rPr>
        <w:t>Programmes</w:t>
      </w:r>
      <w:proofErr w:type="spellEnd"/>
    </w:p>
    <w:p w14:paraId="277A524B" w14:textId="77777777" w:rsidR="00C05A19" w:rsidRDefault="00C05A19" w:rsidP="00C05A19">
      <w:pPr>
        <w:numPr>
          <w:ilvl w:val="0"/>
          <w:numId w:val="38"/>
        </w:numPr>
        <w:spacing w:after="0" w:line="276" w:lineRule="auto"/>
        <w:jc w:val="both"/>
        <w:rPr>
          <w:rFonts w:ascii="Times New Roman" w:hAnsi="Times New Roman"/>
          <w:bCs/>
          <w:color w:val="000000"/>
          <w:sz w:val="20"/>
          <w:szCs w:val="20"/>
        </w:rPr>
      </w:pPr>
      <w:r>
        <w:rPr>
          <w:rFonts w:ascii="Times New Roman" w:hAnsi="Times New Roman"/>
          <w:bCs/>
          <w:color w:val="000000"/>
          <w:sz w:val="20"/>
          <w:szCs w:val="20"/>
        </w:rPr>
        <w:t xml:space="preserve">IGNITE </w:t>
      </w:r>
      <w:proofErr w:type="spellStart"/>
      <w:r>
        <w:rPr>
          <w:rFonts w:ascii="Times New Roman" w:hAnsi="Times New Roman"/>
          <w:bCs/>
          <w:color w:val="000000"/>
          <w:sz w:val="20"/>
          <w:szCs w:val="20"/>
        </w:rPr>
        <w:t>programme</w:t>
      </w:r>
      <w:proofErr w:type="spellEnd"/>
    </w:p>
    <w:p w14:paraId="1AB3C570" w14:textId="77777777" w:rsidR="00C05A19" w:rsidRDefault="00C05A19" w:rsidP="00C05A19">
      <w:pPr>
        <w:numPr>
          <w:ilvl w:val="0"/>
          <w:numId w:val="38"/>
        </w:numPr>
        <w:spacing w:after="0" w:line="276" w:lineRule="auto"/>
        <w:jc w:val="both"/>
        <w:rPr>
          <w:rFonts w:ascii="Times New Roman" w:hAnsi="Times New Roman"/>
          <w:bCs/>
          <w:color w:val="000000"/>
          <w:sz w:val="20"/>
          <w:szCs w:val="20"/>
        </w:rPr>
      </w:pPr>
      <w:r>
        <w:rPr>
          <w:rFonts w:ascii="Times New Roman" w:hAnsi="Times New Roman"/>
          <w:bCs/>
          <w:color w:val="000000"/>
          <w:sz w:val="20"/>
          <w:szCs w:val="20"/>
        </w:rPr>
        <w:t>Mentorship and networking opportunities</w:t>
      </w:r>
    </w:p>
    <w:p w14:paraId="7DAA2A62" w14:textId="77777777" w:rsidR="00C05A19" w:rsidRDefault="00C05A19" w:rsidP="00C05A19">
      <w:pPr>
        <w:spacing w:after="0"/>
        <w:jc w:val="both"/>
        <w:rPr>
          <w:rFonts w:ascii="Times New Roman" w:hAnsi="Times New Roman"/>
          <w:color w:val="000000"/>
          <w:sz w:val="20"/>
          <w:szCs w:val="20"/>
        </w:rPr>
      </w:pPr>
    </w:p>
    <w:p w14:paraId="0428E37F" w14:textId="77777777" w:rsidR="00C05A19" w:rsidRDefault="00C05A19" w:rsidP="00C05A19">
      <w:pPr>
        <w:spacing w:after="0"/>
        <w:jc w:val="both"/>
        <w:rPr>
          <w:rFonts w:ascii="Times New Roman" w:hAnsi="Times New Roman"/>
          <w:color w:val="000000"/>
          <w:sz w:val="20"/>
          <w:szCs w:val="20"/>
        </w:rPr>
      </w:pPr>
      <w:r>
        <w:rPr>
          <w:rFonts w:ascii="Times New Roman" w:hAnsi="Times New Roman"/>
          <w:color w:val="000000"/>
          <w:sz w:val="20"/>
          <w:szCs w:val="20"/>
        </w:rPr>
        <w:t xml:space="preserve">The consulting services (“the Services”) will require </w:t>
      </w:r>
      <w:bookmarkEnd w:id="4"/>
      <w:r>
        <w:rPr>
          <w:rFonts w:ascii="Times New Roman" w:hAnsi="Times New Roman"/>
          <w:color w:val="000000"/>
          <w:sz w:val="20"/>
          <w:szCs w:val="20"/>
        </w:rPr>
        <w:t>a consulting firm or related organization with practical experience in research methods and qualitative analysis techniques, as well as experience in gender and entrepreneurship issues.</w:t>
      </w:r>
    </w:p>
    <w:p w14:paraId="2FAC3636" w14:textId="77777777" w:rsidR="00C05A19" w:rsidRDefault="00C05A19" w:rsidP="00C05A19">
      <w:pPr>
        <w:spacing w:after="0"/>
        <w:jc w:val="both"/>
        <w:rPr>
          <w:rFonts w:ascii="Times New Roman" w:hAnsi="Times New Roman"/>
          <w:color w:val="000000"/>
          <w:sz w:val="20"/>
          <w:szCs w:val="20"/>
        </w:rPr>
      </w:pPr>
    </w:p>
    <w:p w14:paraId="7CA87C7F" w14:textId="77777777" w:rsidR="00C05A19" w:rsidRDefault="00C05A19" w:rsidP="00C05A19">
      <w:pPr>
        <w:spacing w:after="0"/>
        <w:jc w:val="both"/>
        <w:rPr>
          <w:rFonts w:ascii="Times New Roman" w:hAnsi="Times New Roman"/>
          <w:bCs/>
          <w:color w:val="000000"/>
          <w:sz w:val="20"/>
          <w:szCs w:val="20"/>
        </w:rPr>
      </w:pPr>
      <w:r>
        <w:rPr>
          <w:rFonts w:ascii="Times New Roman" w:hAnsi="Times New Roman"/>
          <w:bCs/>
          <w:color w:val="000000"/>
          <w:sz w:val="20"/>
          <w:szCs w:val="20"/>
        </w:rPr>
        <w:t xml:space="preserve">The objective of the assignment is to assess the landscape of female entrepreneurship and female-led or owned businesses in Jamaica and identify solutions to increase their participation in the BIGEE </w:t>
      </w:r>
      <w:proofErr w:type="spellStart"/>
      <w:r>
        <w:rPr>
          <w:rFonts w:ascii="Times New Roman" w:hAnsi="Times New Roman"/>
          <w:bCs/>
          <w:color w:val="000000"/>
          <w:sz w:val="20"/>
          <w:szCs w:val="20"/>
        </w:rPr>
        <w:t>programme</w:t>
      </w:r>
      <w:proofErr w:type="spellEnd"/>
      <w:r>
        <w:rPr>
          <w:rFonts w:ascii="Times New Roman" w:hAnsi="Times New Roman"/>
          <w:bCs/>
          <w:color w:val="000000"/>
          <w:sz w:val="20"/>
          <w:szCs w:val="20"/>
        </w:rPr>
        <w:t>.</w:t>
      </w:r>
      <w:r>
        <w:rPr>
          <w:rFonts w:ascii="Times New Roman" w:hAnsi="Times New Roman"/>
          <w:color w:val="000000"/>
          <w:sz w:val="20"/>
          <w:szCs w:val="20"/>
        </w:rPr>
        <w:t xml:space="preserve"> </w:t>
      </w:r>
    </w:p>
    <w:p w14:paraId="66BD0DE5" w14:textId="77777777" w:rsidR="00C05A19" w:rsidRDefault="00C05A19" w:rsidP="00C05A19">
      <w:pPr>
        <w:spacing w:after="0"/>
        <w:jc w:val="both"/>
        <w:rPr>
          <w:rFonts w:ascii="Times New Roman" w:hAnsi="Times New Roman"/>
          <w:color w:val="000000"/>
          <w:sz w:val="20"/>
          <w:szCs w:val="20"/>
        </w:rPr>
      </w:pPr>
    </w:p>
    <w:p w14:paraId="7DCAEA79" w14:textId="77777777" w:rsidR="00C05A19" w:rsidRDefault="00C05A19" w:rsidP="00C05A19">
      <w:pPr>
        <w:spacing w:after="0"/>
        <w:jc w:val="both"/>
        <w:rPr>
          <w:rFonts w:ascii="Times New Roman" w:hAnsi="Times New Roman"/>
          <w:color w:val="000000"/>
          <w:sz w:val="20"/>
          <w:szCs w:val="20"/>
        </w:rPr>
      </w:pPr>
      <w:r>
        <w:rPr>
          <w:rFonts w:ascii="Times New Roman" w:hAnsi="Times New Roman"/>
          <w:color w:val="000000"/>
          <w:sz w:val="20"/>
          <w:szCs w:val="20"/>
        </w:rPr>
        <w:t xml:space="preserve">The DBJ now invites eligible Consultants (“Firms “) to indicate their interest in providing consultancy services for the specialized area.  Interested Consultants should provide information demonstrating that they have the required qualifications and relevant experience to perform the services. </w:t>
      </w:r>
    </w:p>
    <w:p w14:paraId="6C920D74" w14:textId="77777777" w:rsidR="00C05A19" w:rsidRDefault="00C05A19" w:rsidP="00C05A19">
      <w:pPr>
        <w:spacing w:after="0"/>
        <w:jc w:val="both"/>
        <w:rPr>
          <w:rFonts w:ascii="Times New Roman" w:hAnsi="Times New Roman"/>
          <w:color w:val="000000"/>
          <w:sz w:val="20"/>
          <w:szCs w:val="20"/>
        </w:rPr>
      </w:pPr>
    </w:p>
    <w:p w14:paraId="3A1B11C1" w14:textId="77777777" w:rsidR="00C05A19" w:rsidRDefault="00C05A19" w:rsidP="00C05A19">
      <w:pPr>
        <w:spacing w:after="0"/>
        <w:jc w:val="both"/>
        <w:rPr>
          <w:rFonts w:ascii="Times New Roman" w:hAnsi="Times New Roman"/>
          <w:color w:val="000000"/>
          <w:sz w:val="20"/>
          <w:szCs w:val="20"/>
        </w:rPr>
      </w:pPr>
      <w:r>
        <w:rPr>
          <w:rFonts w:ascii="Times New Roman" w:hAnsi="Times New Roman"/>
          <w:color w:val="000000"/>
          <w:sz w:val="20"/>
          <w:szCs w:val="20"/>
        </w:rPr>
        <w:t>The consultant will be expected to have the following capabilities and skills:</w:t>
      </w:r>
    </w:p>
    <w:p w14:paraId="3B84E145" w14:textId="77777777" w:rsidR="00C05A19" w:rsidRDefault="00C05A19" w:rsidP="00C05A19">
      <w:pPr>
        <w:spacing w:after="0"/>
        <w:jc w:val="both"/>
        <w:rPr>
          <w:rFonts w:ascii="Times New Roman" w:hAnsi="Times New Roman"/>
          <w:color w:val="000000"/>
          <w:sz w:val="20"/>
          <w:szCs w:val="20"/>
        </w:rPr>
      </w:pPr>
    </w:p>
    <w:p w14:paraId="73C2EAD5" w14:textId="77777777" w:rsidR="00C05A19" w:rsidRDefault="00C05A19" w:rsidP="00C05A19">
      <w:pPr>
        <w:numPr>
          <w:ilvl w:val="0"/>
          <w:numId w:val="39"/>
        </w:numPr>
        <w:spacing w:after="0" w:line="276" w:lineRule="auto"/>
        <w:jc w:val="both"/>
        <w:rPr>
          <w:rFonts w:ascii="Times New Roman" w:hAnsi="Times New Roman"/>
          <w:color w:val="000000"/>
          <w:sz w:val="20"/>
          <w:szCs w:val="20"/>
        </w:rPr>
      </w:pPr>
      <w:r>
        <w:rPr>
          <w:rFonts w:ascii="Times New Roman" w:hAnsi="Times New Roman"/>
          <w:b/>
          <w:bCs/>
          <w:color w:val="000000"/>
          <w:sz w:val="20"/>
          <w:szCs w:val="20"/>
        </w:rPr>
        <w:t>Education:</w:t>
      </w:r>
      <w:r>
        <w:rPr>
          <w:rFonts w:ascii="Times New Roman" w:hAnsi="Times New Roman"/>
          <w:color w:val="000000"/>
          <w:sz w:val="20"/>
          <w:szCs w:val="20"/>
        </w:rPr>
        <w:t xml:space="preserve"> Postgraduate degree in Sociology, Economics, Behavioural </w:t>
      </w:r>
      <w:proofErr w:type="gramStart"/>
      <w:r>
        <w:rPr>
          <w:rFonts w:ascii="Times New Roman" w:hAnsi="Times New Roman"/>
          <w:color w:val="000000"/>
          <w:sz w:val="20"/>
          <w:szCs w:val="20"/>
        </w:rPr>
        <w:t>Science</w:t>
      </w:r>
      <w:proofErr w:type="gramEnd"/>
      <w:r>
        <w:rPr>
          <w:rFonts w:ascii="Times New Roman" w:hAnsi="Times New Roman"/>
          <w:color w:val="000000"/>
          <w:sz w:val="20"/>
          <w:szCs w:val="20"/>
        </w:rPr>
        <w:t xml:space="preserve"> or a relevant Social Science. </w:t>
      </w:r>
    </w:p>
    <w:p w14:paraId="17B7D442" w14:textId="77777777" w:rsidR="00C05A19" w:rsidRDefault="00C05A19" w:rsidP="00C05A19">
      <w:pPr>
        <w:numPr>
          <w:ilvl w:val="0"/>
          <w:numId w:val="39"/>
        </w:numPr>
        <w:spacing w:after="0" w:line="276" w:lineRule="auto"/>
        <w:jc w:val="both"/>
        <w:rPr>
          <w:rFonts w:ascii="Times New Roman" w:hAnsi="Times New Roman"/>
          <w:color w:val="000000"/>
          <w:sz w:val="20"/>
          <w:szCs w:val="20"/>
        </w:rPr>
      </w:pPr>
      <w:r>
        <w:rPr>
          <w:rFonts w:ascii="Times New Roman" w:hAnsi="Times New Roman"/>
          <w:b/>
          <w:bCs/>
          <w:color w:val="000000"/>
          <w:sz w:val="20"/>
          <w:szCs w:val="20"/>
        </w:rPr>
        <w:t>Experience:</w:t>
      </w:r>
      <w:r>
        <w:rPr>
          <w:rFonts w:ascii="Times New Roman" w:hAnsi="Times New Roman"/>
          <w:color w:val="000000"/>
          <w:sz w:val="20"/>
          <w:szCs w:val="20"/>
        </w:rPr>
        <w:t xml:space="preserve"> Experience in similar assignments, in terms of nature of the assignment, complexity and scale, for at least five (5) years. Practical experience in research methods and qualitative analysis techniques is required, as well as proven experience in gender and entrepreneurship issues. Knowledge of the Jamaican entrepreneurial ecosystem, relevant institutions/</w:t>
      </w:r>
      <w:proofErr w:type="gramStart"/>
      <w:r>
        <w:rPr>
          <w:rFonts w:ascii="Times New Roman" w:hAnsi="Times New Roman"/>
          <w:color w:val="000000"/>
          <w:sz w:val="20"/>
          <w:szCs w:val="20"/>
        </w:rPr>
        <w:t>actors</w:t>
      </w:r>
      <w:proofErr w:type="gramEnd"/>
      <w:r>
        <w:rPr>
          <w:rFonts w:ascii="Times New Roman" w:hAnsi="Times New Roman"/>
          <w:color w:val="000000"/>
          <w:sz w:val="20"/>
          <w:szCs w:val="20"/>
        </w:rPr>
        <w:t xml:space="preserve"> and public support programs.</w:t>
      </w:r>
    </w:p>
    <w:p w14:paraId="0256AA98" w14:textId="77777777" w:rsidR="00C05A19" w:rsidRDefault="00C05A19" w:rsidP="00C05A19">
      <w:pPr>
        <w:numPr>
          <w:ilvl w:val="0"/>
          <w:numId w:val="39"/>
        </w:numPr>
        <w:spacing w:after="0" w:line="276" w:lineRule="auto"/>
        <w:jc w:val="both"/>
        <w:rPr>
          <w:rFonts w:ascii="Times New Roman" w:hAnsi="Times New Roman"/>
          <w:color w:val="000000"/>
          <w:sz w:val="20"/>
          <w:szCs w:val="20"/>
        </w:rPr>
      </w:pPr>
      <w:r>
        <w:rPr>
          <w:rFonts w:ascii="Times New Roman" w:hAnsi="Times New Roman"/>
          <w:color w:val="000000"/>
          <w:sz w:val="20"/>
          <w:szCs w:val="20"/>
        </w:rPr>
        <w:t>Consultant must also demonstrate effective time management skills and ability to work with deadlines.</w:t>
      </w:r>
    </w:p>
    <w:p w14:paraId="51DB28B0" w14:textId="77777777" w:rsidR="00C05A19" w:rsidRDefault="00C05A19" w:rsidP="00C05A19">
      <w:pPr>
        <w:numPr>
          <w:ilvl w:val="0"/>
          <w:numId w:val="39"/>
        </w:numPr>
        <w:spacing w:after="0" w:line="276" w:lineRule="auto"/>
        <w:jc w:val="both"/>
        <w:rPr>
          <w:rFonts w:ascii="Times New Roman" w:hAnsi="Times New Roman"/>
          <w:color w:val="000000"/>
          <w:sz w:val="20"/>
          <w:szCs w:val="20"/>
        </w:rPr>
      </w:pPr>
      <w:r>
        <w:rPr>
          <w:rFonts w:ascii="Times New Roman" w:hAnsi="Times New Roman"/>
          <w:b/>
          <w:bCs/>
          <w:color w:val="000000"/>
          <w:sz w:val="20"/>
          <w:szCs w:val="20"/>
          <w:lang w:val="en-JM"/>
        </w:rPr>
        <w:t xml:space="preserve">Languages: </w:t>
      </w:r>
      <w:r>
        <w:rPr>
          <w:rFonts w:ascii="Times New Roman" w:hAnsi="Times New Roman"/>
          <w:color w:val="000000"/>
          <w:sz w:val="20"/>
          <w:szCs w:val="20"/>
          <w:lang w:val="en-JM"/>
        </w:rPr>
        <w:t>Fluency in oral and written English.</w:t>
      </w:r>
    </w:p>
    <w:p w14:paraId="5FB4CCDE" w14:textId="77777777" w:rsidR="00C05A19" w:rsidRDefault="00C05A19" w:rsidP="00C05A19">
      <w:pPr>
        <w:spacing w:after="0"/>
        <w:jc w:val="both"/>
        <w:rPr>
          <w:rFonts w:ascii="Times New Roman" w:hAnsi="Times New Roman"/>
          <w:b/>
          <w:bCs/>
          <w:color w:val="000000"/>
          <w:sz w:val="20"/>
          <w:szCs w:val="20"/>
          <w:lang w:val="en-JM"/>
        </w:rPr>
      </w:pPr>
    </w:p>
    <w:p w14:paraId="362444D4" w14:textId="77777777" w:rsidR="00C05A19" w:rsidRDefault="00C05A19" w:rsidP="00C05A19">
      <w:pPr>
        <w:spacing w:after="0"/>
        <w:jc w:val="both"/>
        <w:rPr>
          <w:rFonts w:ascii="Times New Roman" w:hAnsi="Times New Roman"/>
          <w:color w:val="000000"/>
          <w:sz w:val="20"/>
          <w:szCs w:val="20"/>
        </w:rPr>
      </w:pPr>
      <w:r>
        <w:rPr>
          <w:rFonts w:ascii="Times New Roman" w:hAnsi="Times New Roman"/>
          <w:color w:val="000000"/>
          <w:sz w:val="20"/>
          <w:szCs w:val="20"/>
        </w:rPr>
        <w:t>All experience, knowledge and partnerships should be demonstrated through contracts, letters of conformity or any equivalent.</w:t>
      </w:r>
    </w:p>
    <w:p w14:paraId="28714D3D" w14:textId="77777777" w:rsidR="00C05A19" w:rsidRDefault="00C05A19" w:rsidP="00C05A19">
      <w:pPr>
        <w:spacing w:after="0"/>
        <w:jc w:val="both"/>
        <w:rPr>
          <w:rFonts w:ascii="Times New Roman" w:hAnsi="Times New Roman"/>
          <w:color w:val="000000"/>
          <w:sz w:val="20"/>
          <w:szCs w:val="20"/>
        </w:rPr>
      </w:pPr>
      <w:r>
        <w:rPr>
          <w:rFonts w:ascii="Times New Roman" w:hAnsi="Times New Roman"/>
          <w:color w:val="000000"/>
          <w:sz w:val="20"/>
          <w:szCs w:val="20"/>
        </w:rPr>
        <w:tab/>
      </w:r>
    </w:p>
    <w:p w14:paraId="1DACD6EF" w14:textId="77777777" w:rsidR="00C05A19" w:rsidRDefault="00C05A19" w:rsidP="00C05A19">
      <w:pPr>
        <w:widowControl w:val="0"/>
        <w:overflowPunct w:val="0"/>
        <w:autoSpaceDE w:val="0"/>
        <w:autoSpaceDN w:val="0"/>
        <w:adjustRightInd w:val="0"/>
        <w:spacing w:after="0"/>
        <w:jc w:val="both"/>
        <w:rPr>
          <w:rFonts w:ascii="Times New Roman" w:hAnsi="Times New Roman"/>
          <w:b/>
          <w:bCs/>
          <w:sz w:val="20"/>
          <w:szCs w:val="20"/>
        </w:rPr>
      </w:pPr>
      <w:r>
        <w:rPr>
          <w:rFonts w:ascii="Times New Roman" w:hAnsi="Times New Roman"/>
          <w:color w:val="000000"/>
          <w:sz w:val="20"/>
          <w:szCs w:val="20"/>
        </w:rPr>
        <w:t xml:space="preserve">The Terms of Reference may be downloaded from the DBJ’s website: </w:t>
      </w:r>
      <w:hyperlink r:id="rId13" w:history="1">
        <w:r>
          <w:rPr>
            <w:rStyle w:val="Hyperlink"/>
            <w:rFonts w:ascii="Times New Roman" w:hAnsi="Times New Roman"/>
            <w:b/>
            <w:bCs/>
            <w:sz w:val="20"/>
            <w:szCs w:val="20"/>
          </w:rPr>
          <w:t>http://www.dbankjm.com</w:t>
        </w:r>
      </w:hyperlink>
      <w:r>
        <w:rPr>
          <w:rFonts w:ascii="Times New Roman" w:hAnsi="Times New Roman"/>
          <w:b/>
          <w:bCs/>
          <w:color w:val="000000"/>
          <w:sz w:val="20"/>
          <w:szCs w:val="20"/>
        </w:rPr>
        <w:t xml:space="preserve"> </w:t>
      </w:r>
      <w:r>
        <w:rPr>
          <w:rFonts w:ascii="Times New Roman" w:hAnsi="Times New Roman"/>
          <w:b/>
          <w:bCs/>
          <w:sz w:val="20"/>
          <w:szCs w:val="20"/>
        </w:rPr>
        <w:t xml:space="preserve">as of Monday, </w:t>
      </w:r>
      <w:proofErr w:type="gramStart"/>
      <w:r>
        <w:rPr>
          <w:rFonts w:ascii="Times New Roman" w:hAnsi="Times New Roman"/>
          <w:b/>
          <w:bCs/>
          <w:sz w:val="20"/>
          <w:szCs w:val="20"/>
        </w:rPr>
        <w:t>September  26</w:t>
      </w:r>
      <w:proofErr w:type="gramEnd"/>
      <w:r>
        <w:rPr>
          <w:rFonts w:ascii="Times New Roman" w:hAnsi="Times New Roman"/>
          <w:b/>
          <w:bCs/>
          <w:sz w:val="20"/>
          <w:szCs w:val="20"/>
        </w:rPr>
        <w:t>, 2022.</w:t>
      </w:r>
    </w:p>
    <w:p w14:paraId="0ABE4407" w14:textId="77777777" w:rsidR="00C05A19" w:rsidRDefault="00C05A19" w:rsidP="00C05A19">
      <w:pPr>
        <w:widowControl w:val="0"/>
        <w:overflowPunct w:val="0"/>
        <w:autoSpaceDE w:val="0"/>
        <w:autoSpaceDN w:val="0"/>
        <w:adjustRightInd w:val="0"/>
        <w:spacing w:after="0"/>
        <w:jc w:val="both"/>
        <w:rPr>
          <w:rFonts w:ascii="Times New Roman" w:hAnsi="Times New Roman"/>
          <w:color w:val="000000"/>
          <w:sz w:val="24"/>
          <w:szCs w:val="24"/>
        </w:rPr>
      </w:pPr>
    </w:p>
    <w:p w14:paraId="404472AC" w14:textId="77777777" w:rsidR="00C05A19" w:rsidRDefault="00C05A19" w:rsidP="00C05A19">
      <w:pPr>
        <w:widowControl w:val="0"/>
        <w:autoSpaceDE w:val="0"/>
        <w:autoSpaceDN w:val="0"/>
        <w:adjustRightInd w:val="0"/>
        <w:spacing w:after="0" w:line="236" w:lineRule="exact"/>
        <w:jc w:val="both"/>
        <w:rPr>
          <w:rFonts w:ascii="Times New Roman" w:hAnsi="Times New Roman"/>
          <w:i/>
          <w:iCs/>
          <w:color w:val="000000"/>
          <w:sz w:val="20"/>
          <w:szCs w:val="20"/>
        </w:rPr>
      </w:pPr>
      <w:r>
        <w:rPr>
          <w:rFonts w:ascii="Times New Roman" w:hAnsi="Times New Roman"/>
          <w:color w:val="000000"/>
          <w:sz w:val="20"/>
          <w:szCs w:val="20"/>
        </w:rPr>
        <w:t xml:space="preserve">The attention of interested Consultants is drawn to 1.9 of the IDB’s </w:t>
      </w:r>
      <w:r>
        <w:rPr>
          <w:rFonts w:ascii="Times New Roman" w:hAnsi="Times New Roman"/>
          <w:i/>
          <w:iCs/>
          <w:color w:val="000000"/>
          <w:sz w:val="20"/>
          <w:szCs w:val="20"/>
        </w:rPr>
        <w:t xml:space="preserve">Guidelines: Policies for the Selection and Contracting of Consultants financed by the Inter-American Development Bank (GN-2350-9), March 2011 </w:t>
      </w:r>
      <w:r>
        <w:rPr>
          <w:rFonts w:ascii="Times New Roman" w:hAnsi="Times New Roman"/>
          <w:color w:val="000000"/>
          <w:sz w:val="20"/>
          <w:szCs w:val="20"/>
        </w:rPr>
        <w:t xml:space="preserve">setting forth the IDB’s policy on conflict of interest. The Consultant will be selected in accordance with the </w:t>
      </w:r>
      <w:r>
        <w:rPr>
          <w:rFonts w:ascii="Times New Roman" w:hAnsi="Times New Roman"/>
          <w:b/>
          <w:bCs/>
          <w:color w:val="000000"/>
          <w:sz w:val="20"/>
          <w:szCs w:val="20"/>
        </w:rPr>
        <w:t xml:space="preserve">Selection Based on the Consultants’ Qualifications (CQS) </w:t>
      </w:r>
      <w:r>
        <w:rPr>
          <w:rFonts w:ascii="Times New Roman" w:hAnsi="Times New Roman"/>
          <w:color w:val="000000"/>
          <w:sz w:val="20"/>
          <w:szCs w:val="20"/>
        </w:rPr>
        <w:t>method</w:t>
      </w:r>
      <w:r>
        <w:rPr>
          <w:rFonts w:ascii="Times New Roman" w:hAnsi="Times New Roman"/>
          <w:b/>
          <w:bCs/>
          <w:color w:val="000000"/>
          <w:sz w:val="20"/>
          <w:szCs w:val="20"/>
        </w:rPr>
        <w:t xml:space="preserve"> </w:t>
      </w:r>
      <w:r>
        <w:rPr>
          <w:rFonts w:ascii="Times New Roman" w:hAnsi="Times New Roman"/>
          <w:color w:val="000000"/>
          <w:sz w:val="20"/>
          <w:szCs w:val="20"/>
        </w:rPr>
        <w:t xml:space="preserve">set out in the </w:t>
      </w:r>
      <w:r>
        <w:rPr>
          <w:rFonts w:ascii="Times New Roman" w:hAnsi="Times New Roman"/>
          <w:i/>
          <w:iCs/>
          <w:color w:val="000000"/>
          <w:sz w:val="20"/>
          <w:szCs w:val="20"/>
        </w:rPr>
        <w:t xml:space="preserve">GN-2350-9, March 2011 </w:t>
      </w:r>
      <w:r>
        <w:rPr>
          <w:rFonts w:ascii="Times New Roman" w:hAnsi="Times New Roman"/>
          <w:color w:val="000000"/>
          <w:sz w:val="20"/>
          <w:szCs w:val="20"/>
        </w:rPr>
        <w:t xml:space="preserve">on page 20, Item 3.7- 8. </w:t>
      </w:r>
    </w:p>
    <w:p w14:paraId="1CEFF7D2" w14:textId="77777777" w:rsidR="00C05A19" w:rsidRDefault="00C05A19" w:rsidP="00C05A19">
      <w:pPr>
        <w:widowControl w:val="0"/>
        <w:autoSpaceDE w:val="0"/>
        <w:autoSpaceDN w:val="0"/>
        <w:adjustRightInd w:val="0"/>
        <w:spacing w:after="0" w:line="236" w:lineRule="exact"/>
        <w:jc w:val="both"/>
        <w:rPr>
          <w:rFonts w:ascii="Times New Roman" w:hAnsi="Times New Roman"/>
          <w:sz w:val="24"/>
          <w:szCs w:val="24"/>
        </w:rPr>
      </w:pPr>
    </w:p>
    <w:p w14:paraId="3D02E3C5" w14:textId="77777777" w:rsidR="00C05A19" w:rsidRDefault="00C05A19" w:rsidP="00C05A19">
      <w:pPr>
        <w:widowControl w:val="0"/>
        <w:autoSpaceDE w:val="0"/>
        <w:autoSpaceDN w:val="0"/>
        <w:adjustRightInd w:val="0"/>
        <w:spacing w:after="0" w:line="240" w:lineRule="auto"/>
        <w:jc w:val="both"/>
        <w:rPr>
          <w:rFonts w:ascii="Times New Roman" w:eastAsia="Calibri" w:hAnsi="Times New Roman" w:cs="Arial"/>
          <w:i/>
          <w:iCs/>
          <w:color w:val="000000"/>
          <w:sz w:val="20"/>
          <w:szCs w:val="20"/>
        </w:rPr>
      </w:pPr>
      <w:r>
        <w:rPr>
          <w:rFonts w:ascii="Times New Roman" w:eastAsia="Calibri" w:hAnsi="Times New Roman" w:cs="Arial"/>
          <w:b/>
          <w:i/>
          <w:iCs/>
          <w:color w:val="000000"/>
          <w:sz w:val="20"/>
          <w:szCs w:val="20"/>
        </w:rPr>
        <w:t xml:space="preserve">Deadline for Clarifications:  </w:t>
      </w:r>
      <w:r>
        <w:rPr>
          <w:rFonts w:ascii="Times New Roman" w:eastAsia="Calibri" w:hAnsi="Times New Roman" w:cs="Arial"/>
          <w:i/>
          <w:iCs/>
          <w:color w:val="000000"/>
          <w:sz w:val="20"/>
          <w:szCs w:val="20"/>
        </w:rPr>
        <w:t xml:space="preserve">All Requests for Clarification should be submitted on or before </w:t>
      </w:r>
      <w:r>
        <w:rPr>
          <w:rFonts w:ascii="Times New Roman" w:eastAsia="Calibri" w:hAnsi="Times New Roman" w:cs="Arial"/>
          <w:b/>
          <w:bCs/>
          <w:i/>
          <w:iCs/>
          <w:color w:val="000000"/>
          <w:sz w:val="20"/>
          <w:szCs w:val="20"/>
        </w:rPr>
        <w:t>Wednesday, October 5, 2022, at 4:30 p.m.</w:t>
      </w:r>
      <w:r>
        <w:rPr>
          <w:rFonts w:ascii="Times New Roman" w:eastAsia="Calibri" w:hAnsi="Times New Roman" w:cs="Arial"/>
          <w:b/>
          <w:i/>
          <w:iCs/>
          <w:color w:val="000000"/>
          <w:sz w:val="20"/>
          <w:szCs w:val="20"/>
        </w:rPr>
        <w:t xml:space="preserve">, </w:t>
      </w:r>
      <w:r>
        <w:rPr>
          <w:rFonts w:ascii="Times New Roman" w:eastAsia="Calibri" w:hAnsi="Times New Roman" w:cs="Arial"/>
          <w:i/>
          <w:iCs/>
          <w:color w:val="000000"/>
          <w:sz w:val="20"/>
          <w:szCs w:val="20"/>
        </w:rPr>
        <w:t xml:space="preserve">by sending an email to: </w:t>
      </w:r>
      <w:hyperlink r:id="rId14" w:history="1">
        <w:r>
          <w:rPr>
            <w:rStyle w:val="Hyperlink"/>
            <w:rFonts w:ascii="Times New Roman" w:eastAsia="Calibri" w:hAnsi="Times New Roman" w:cs="Arial"/>
            <w:i/>
            <w:iCs/>
            <w:sz w:val="20"/>
            <w:szCs w:val="20"/>
          </w:rPr>
          <w:t xml:space="preserve"> </w:t>
        </w:r>
        <w:r>
          <w:rPr>
            <w:rStyle w:val="Hyperlink"/>
            <w:rFonts w:ascii="Times New Roman" w:eastAsia="Calibri" w:hAnsi="Times New Roman" w:cs="Arial"/>
            <w:b/>
            <w:bCs/>
            <w:i/>
            <w:iCs/>
            <w:sz w:val="20"/>
            <w:szCs w:val="20"/>
          </w:rPr>
          <w:t>thinkbigee@dbankjm.com</w:t>
        </w:r>
      </w:hyperlink>
    </w:p>
    <w:p w14:paraId="32E8C40D" w14:textId="77777777" w:rsidR="00C05A19" w:rsidRDefault="00C05A19" w:rsidP="00C05A19">
      <w:pPr>
        <w:widowControl w:val="0"/>
        <w:autoSpaceDE w:val="0"/>
        <w:autoSpaceDN w:val="0"/>
        <w:adjustRightInd w:val="0"/>
        <w:spacing w:after="0" w:line="159" w:lineRule="exact"/>
        <w:jc w:val="both"/>
        <w:rPr>
          <w:rFonts w:ascii="Times New Roman" w:eastAsia="Times New Roman" w:hAnsi="Times New Roman" w:cs="Times New Roman"/>
          <w:sz w:val="24"/>
          <w:szCs w:val="24"/>
        </w:rPr>
      </w:pPr>
    </w:p>
    <w:p w14:paraId="26B5E524" w14:textId="77777777" w:rsidR="00C05A19" w:rsidRDefault="00C05A19" w:rsidP="00C05A19">
      <w:pPr>
        <w:widowControl w:val="0"/>
        <w:autoSpaceDE w:val="0"/>
        <w:autoSpaceDN w:val="0"/>
        <w:adjustRightInd w:val="0"/>
        <w:spacing w:after="0" w:line="240" w:lineRule="auto"/>
        <w:jc w:val="both"/>
        <w:rPr>
          <w:rFonts w:ascii="Times New Roman" w:hAnsi="Times New Roman"/>
          <w:b/>
          <w:bCs/>
          <w:sz w:val="20"/>
          <w:szCs w:val="20"/>
        </w:rPr>
      </w:pPr>
      <w:r>
        <w:rPr>
          <w:rFonts w:ascii="Times New Roman" w:hAnsi="Times New Roman"/>
          <w:sz w:val="20"/>
          <w:szCs w:val="20"/>
        </w:rPr>
        <w:t xml:space="preserve">Expressions of Interest may be delivered in writing to the address below (in person or by mail) or via email: </w:t>
      </w:r>
      <w:hyperlink r:id="rId15" w:history="1">
        <w:r>
          <w:rPr>
            <w:rStyle w:val="Hyperlink"/>
            <w:rFonts w:ascii="Times New Roman" w:hAnsi="Times New Roman"/>
            <w:b/>
            <w:bCs/>
            <w:i/>
            <w:iCs/>
            <w:sz w:val="20"/>
            <w:szCs w:val="20"/>
          </w:rPr>
          <w:t>thinkbigee@dbankjm.com</w:t>
        </w:r>
      </w:hyperlink>
      <w:r>
        <w:rPr>
          <w:rFonts w:ascii="Times New Roman" w:hAnsi="Times New Roman"/>
          <w:sz w:val="20"/>
          <w:szCs w:val="20"/>
        </w:rPr>
        <w:t xml:space="preserve">  </w:t>
      </w:r>
      <w:r>
        <w:rPr>
          <w:rFonts w:ascii="Times New Roman" w:hAnsi="Times New Roman"/>
          <w:b/>
          <w:bCs/>
          <w:sz w:val="20"/>
          <w:szCs w:val="20"/>
        </w:rPr>
        <w:t xml:space="preserve">no later than Friday, </w:t>
      </w:r>
      <w:proofErr w:type="gramStart"/>
      <w:r>
        <w:rPr>
          <w:rFonts w:ascii="Times New Roman" w:hAnsi="Times New Roman"/>
          <w:b/>
          <w:bCs/>
          <w:sz w:val="20"/>
          <w:szCs w:val="20"/>
        </w:rPr>
        <w:t>October  14</w:t>
      </w:r>
      <w:proofErr w:type="gramEnd"/>
      <w:r>
        <w:rPr>
          <w:rFonts w:ascii="Times New Roman" w:hAnsi="Times New Roman"/>
          <w:b/>
          <w:bCs/>
          <w:sz w:val="20"/>
          <w:szCs w:val="20"/>
        </w:rPr>
        <w:t>, 2022 at 3:00 p.m.</w:t>
      </w:r>
    </w:p>
    <w:p w14:paraId="2B245552" w14:textId="77777777" w:rsidR="00C05A19" w:rsidRDefault="00C05A19" w:rsidP="00C05A19">
      <w:pPr>
        <w:widowControl w:val="0"/>
        <w:autoSpaceDE w:val="0"/>
        <w:autoSpaceDN w:val="0"/>
        <w:adjustRightInd w:val="0"/>
        <w:spacing w:after="0" w:line="240" w:lineRule="auto"/>
        <w:jc w:val="both"/>
        <w:rPr>
          <w:rFonts w:ascii="Times New Roman" w:hAnsi="Times New Roman"/>
          <w:b/>
          <w:bCs/>
          <w:color w:val="000000"/>
          <w:sz w:val="20"/>
          <w:szCs w:val="20"/>
        </w:rPr>
      </w:pPr>
    </w:p>
    <w:p w14:paraId="2BE9E9F5" w14:textId="77777777" w:rsidR="00C05A19" w:rsidRDefault="00C05A19" w:rsidP="00C05A19">
      <w:pPr>
        <w:widowControl w:val="0"/>
        <w:autoSpaceDE w:val="0"/>
        <w:autoSpaceDN w:val="0"/>
        <w:adjustRightInd w:val="0"/>
        <w:spacing w:after="0" w:line="240" w:lineRule="auto"/>
        <w:jc w:val="both"/>
        <w:rPr>
          <w:rFonts w:ascii="Times New Roman" w:hAnsi="Times New Roman"/>
          <w:color w:val="000000"/>
          <w:sz w:val="24"/>
          <w:szCs w:val="24"/>
        </w:rPr>
      </w:pPr>
    </w:p>
    <w:p w14:paraId="47C11433" w14:textId="77777777" w:rsidR="00C05A19" w:rsidRDefault="00C05A19" w:rsidP="00C05A19">
      <w:pPr>
        <w:widowControl w:val="0"/>
        <w:autoSpaceDE w:val="0"/>
        <w:autoSpaceDN w:val="0"/>
        <w:adjustRightInd w:val="0"/>
        <w:spacing w:after="0" w:line="240" w:lineRule="auto"/>
        <w:ind w:left="3700"/>
        <w:rPr>
          <w:rFonts w:ascii="Times New Roman" w:hAnsi="Times New Roman"/>
          <w:sz w:val="24"/>
          <w:szCs w:val="24"/>
        </w:rPr>
      </w:pPr>
      <w:r>
        <w:rPr>
          <w:rFonts w:ascii="Times New Roman" w:hAnsi="Times New Roman"/>
          <w:bCs/>
          <w:sz w:val="21"/>
          <w:szCs w:val="21"/>
        </w:rPr>
        <w:t>Development Bank of Jamaica</w:t>
      </w:r>
    </w:p>
    <w:p w14:paraId="5530CB35" w14:textId="77777777" w:rsidR="00C05A19" w:rsidRDefault="00C05A19" w:rsidP="00C05A19">
      <w:pPr>
        <w:widowControl w:val="0"/>
        <w:autoSpaceDE w:val="0"/>
        <w:autoSpaceDN w:val="0"/>
        <w:adjustRightInd w:val="0"/>
        <w:spacing w:after="0" w:line="240" w:lineRule="auto"/>
        <w:ind w:left="3300"/>
        <w:rPr>
          <w:rFonts w:ascii="Times New Roman" w:hAnsi="Times New Roman"/>
          <w:bCs/>
          <w:sz w:val="21"/>
          <w:szCs w:val="21"/>
        </w:rPr>
      </w:pPr>
      <w:r>
        <w:rPr>
          <w:rFonts w:ascii="Times New Roman" w:hAnsi="Times New Roman"/>
          <w:bCs/>
          <w:sz w:val="21"/>
          <w:szCs w:val="21"/>
        </w:rPr>
        <w:t>Attn: Procurement Specialist/Project Manager</w:t>
      </w:r>
    </w:p>
    <w:p w14:paraId="4BF0928F" w14:textId="77777777" w:rsidR="00C05A19" w:rsidRDefault="00C05A19" w:rsidP="00C05A19">
      <w:pPr>
        <w:widowControl w:val="0"/>
        <w:autoSpaceDE w:val="0"/>
        <w:autoSpaceDN w:val="0"/>
        <w:adjustRightInd w:val="0"/>
        <w:spacing w:after="0" w:line="240" w:lineRule="auto"/>
        <w:jc w:val="center"/>
        <w:rPr>
          <w:rFonts w:ascii="Times New Roman" w:hAnsi="Times New Roman"/>
          <w:bCs/>
          <w:sz w:val="21"/>
          <w:szCs w:val="21"/>
        </w:rPr>
      </w:pPr>
      <w:r>
        <w:rPr>
          <w:rFonts w:ascii="Times New Roman" w:hAnsi="Times New Roman"/>
          <w:bCs/>
          <w:sz w:val="21"/>
          <w:szCs w:val="21"/>
        </w:rPr>
        <w:t xml:space="preserve">Assessing the Entrepreneurial and Business Landscape &amp; Identifying Solutions </w:t>
      </w:r>
    </w:p>
    <w:p w14:paraId="67335DC6" w14:textId="77777777" w:rsidR="00C05A19" w:rsidRDefault="00C05A19" w:rsidP="00C05A19">
      <w:pPr>
        <w:widowControl w:val="0"/>
        <w:autoSpaceDE w:val="0"/>
        <w:autoSpaceDN w:val="0"/>
        <w:adjustRightInd w:val="0"/>
        <w:spacing w:after="0" w:line="240" w:lineRule="auto"/>
        <w:jc w:val="center"/>
        <w:rPr>
          <w:rFonts w:ascii="Times New Roman" w:hAnsi="Times New Roman"/>
          <w:bCs/>
          <w:sz w:val="21"/>
          <w:szCs w:val="21"/>
        </w:rPr>
      </w:pPr>
      <w:r>
        <w:rPr>
          <w:rFonts w:ascii="Times New Roman" w:hAnsi="Times New Roman"/>
          <w:bCs/>
          <w:sz w:val="21"/>
          <w:szCs w:val="21"/>
        </w:rPr>
        <w:t xml:space="preserve">to Increase the Participation of Women in Entrepreneurship in Jamaica                                           </w:t>
      </w:r>
    </w:p>
    <w:p w14:paraId="38A16F5D" w14:textId="77777777" w:rsidR="00C05A19" w:rsidRDefault="00C05A19" w:rsidP="00C05A19">
      <w:pPr>
        <w:widowControl w:val="0"/>
        <w:autoSpaceDE w:val="0"/>
        <w:autoSpaceDN w:val="0"/>
        <w:adjustRightInd w:val="0"/>
        <w:spacing w:after="0" w:line="240" w:lineRule="auto"/>
        <w:rPr>
          <w:rFonts w:ascii="Times New Roman" w:hAnsi="Times New Roman"/>
          <w:bCs/>
          <w:color w:val="000000"/>
        </w:rPr>
      </w:pPr>
      <w:r>
        <w:rPr>
          <w:rFonts w:ascii="Times New Roman" w:hAnsi="Times New Roman"/>
          <w:bCs/>
          <w:sz w:val="21"/>
          <w:szCs w:val="21"/>
        </w:rPr>
        <w:t xml:space="preserve">                                                                             (BIGEE) </w:t>
      </w:r>
      <w:proofErr w:type="spellStart"/>
      <w:r>
        <w:rPr>
          <w:rFonts w:ascii="Times New Roman" w:hAnsi="Times New Roman"/>
          <w:bCs/>
          <w:sz w:val="21"/>
          <w:szCs w:val="21"/>
        </w:rPr>
        <w:t>Programme</w:t>
      </w:r>
      <w:proofErr w:type="spellEnd"/>
    </w:p>
    <w:p w14:paraId="243A14FC" w14:textId="77777777" w:rsidR="00C05A19" w:rsidRDefault="00C05A19" w:rsidP="00C05A19">
      <w:pPr>
        <w:widowControl w:val="0"/>
        <w:autoSpaceDE w:val="0"/>
        <w:autoSpaceDN w:val="0"/>
        <w:adjustRightInd w:val="0"/>
        <w:spacing w:after="0" w:line="1" w:lineRule="exact"/>
        <w:rPr>
          <w:rFonts w:ascii="Times New Roman" w:hAnsi="Times New Roman"/>
          <w:sz w:val="24"/>
          <w:szCs w:val="24"/>
        </w:rPr>
      </w:pPr>
    </w:p>
    <w:p w14:paraId="6343C4FC" w14:textId="77777777" w:rsidR="00C05A19" w:rsidRDefault="00C05A19" w:rsidP="00C05A19">
      <w:pPr>
        <w:widowControl w:val="0"/>
        <w:autoSpaceDE w:val="0"/>
        <w:autoSpaceDN w:val="0"/>
        <w:adjustRightInd w:val="0"/>
        <w:spacing w:after="0" w:line="240" w:lineRule="auto"/>
        <w:ind w:left="3620"/>
        <w:rPr>
          <w:rFonts w:ascii="Times New Roman" w:hAnsi="Times New Roman"/>
          <w:sz w:val="24"/>
          <w:szCs w:val="24"/>
        </w:rPr>
      </w:pPr>
      <w:r>
        <w:rPr>
          <w:rFonts w:ascii="Times New Roman" w:hAnsi="Times New Roman"/>
          <w:bCs/>
          <w:sz w:val="21"/>
          <w:szCs w:val="21"/>
        </w:rPr>
        <w:t>11a-15 Oxford Road, Kingston 5</w:t>
      </w:r>
    </w:p>
    <w:p w14:paraId="39E8F5A7" w14:textId="77777777" w:rsidR="00C05A19" w:rsidRDefault="00C05A19" w:rsidP="00C05A19">
      <w:pPr>
        <w:widowControl w:val="0"/>
        <w:autoSpaceDE w:val="0"/>
        <w:autoSpaceDN w:val="0"/>
        <w:adjustRightInd w:val="0"/>
        <w:spacing w:after="0" w:line="1" w:lineRule="exact"/>
        <w:rPr>
          <w:rFonts w:ascii="Times New Roman" w:hAnsi="Times New Roman"/>
          <w:sz w:val="24"/>
          <w:szCs w:val="24"/>
        </w:rPr>
      </w:pPr>
    </w:p>
    <w:p w14:paraId="3924D60B" w14:textId="77777777" w:rsidR="00C05A19" w:rsidRDefault="00C05A19" w:rsidP="00C05A19">
      <w:pPr>
        <w:widowControl w:val="0"/>
        <w:autoSpaceDE w:val="0"/>
        <w:autoSpaceDN w:val="0"/>
        <w:adjustRightInd w:val="0"/>
        <w:spacing w:after="0" w:line="240" w:lineRule="auto"/>
        <w:ind w:left="4100"/>
        <w:rPr>
          <w:rFonts w:ascii="Times New Roman" w:hAnsi="Times New Roman"/>
          <w:sz w:val="24"/>
          <w:szCs w:val="24"/>
        </w:rPr>
      </w:pPr>
      <w:r>
        <w:rPr>
          <w:rFonts w:ascii="Times New Roman" w:hAnsi="Times New Roman"/>
          <w:bCs/>
          <w:sz w:val="21"/>
          <w:szCs w:val="21"/>
        </w:rPr>
        <w:t>Jamaica, West Indies</w:t>
      </w:r>
    </w:p>
    <w:p w14:paraId="55343DAF" w14:textId="77777777" w:rsidR="00C05A19" w:rsidRDefault="00C05A19" w:rsidP="00C05A19">
      <w:pPr>
        <w:widowControl w:val="0"/>
        <w:autoSpaceDE w:val="0"/>
        <w:autoSpaceDN w:val="0"/>
        <w:adjustRightInd w:val="0"/>
        <w:spacing w:after="0" w:line="240" w:lineRule="auto"/>
        <w:jc w:val="both"/>
        <w:rPr>
          <w:rFonts w:ascii="Times New Roman" w:hAnsi="Times New Roman"/>
          <w:sz w:val="24"/>
          <w:szCs w:val="24"/>
        </w:rPr>
      </w:pPr>
    </w:p>
    <w:p w14:paraId="5AF12E40" w14:textId="77777777" w:rsidR="00C05A19" w:rsidRDefault="005160B4" w:rsidP="004C49AF">
      <w:pPr>
        <w:pStyle w:val="paragraph"/>
        <w:spacing w:before="0" w:beforeAutospacing="0" w:after="0" w:afterAutospacing="0"/>
        <w:jc w:val="center"/>
        <w:textAlignment w:val="baseline"/>
        <w:rPr>
          <w:rStyle w:val="normaltextrun"/>
          <w:rFonts w:ascii="Calibri" w:hAnsi="Calibri" w:cs="Calibri"/>
          <w:b/>
          <w:bCs/>
          <w:sz w:val="22"/>
          <w:szCs w:val="22"/>
        </w:rPr>
      </w:pPr>
      <w:r w:rsidRPr="00D21998">
        <w:rPr>
          <w:rStyle w:val="normaltextrun"/>
          <w:rFonts w:ascii="Calibri" w:hAnsi="Calibri" w:cs="Calibri"/>
          <w:b/>
          <w:bCs/>
          <w:sz w:val="22"/>
          <w:szCs w:val="22"/>
        </w:rPr>
        <w:br/>
      </w:r>
    </w:p>
    <w:p w14:paraId="0F1411BF"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731542A9"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70A7DC8A"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770EF8DA"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504484F1"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5833C879"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4351CB85"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088EC684"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214E3FD4"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7FB94610"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03E9AF76"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23936029"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1AB39983"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7B0AC153"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42D5C59A"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134FDAF6"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1E4366D6"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42A1310C"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79B3A0A2"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07F97C1E"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7506BC9D"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00CB704F" w14:textId="77777777" w:rsidR="00C05A19" w:rsidRDefault="00C05A19" w:rsidP="004C49AF">
      <w:pPr>
        <w:pStyle w:val="paragraph"/>
        <w:spacing w:before="0" w:beforeAutospacing="0" w:after="0" w:afterAutospacing="0"/>
        <w:jc w:val="center"/>
        <w:textAlignment w:val="baseline"/>
        <w:rPr>
          <w:rStyle w:val="normaltextrun"/>
          <w:rFonts w:ascii="Calibri" w:hAnsi="Calibri" w:cs="Calibri"/>
          <w:b/>
          <w:bCs/>
          <w:sz w:val="22"/>
          <w:szCs w:val="22"/>
        </w:rPr>
      </w:pPr>
    </w:p>
    <w:p w14:paraId="596D37D5" w14:textId="1E7EC800" w:rsidR="005160B4" w:rsidRPr="00C05A19" w:rsidRDefault="005160B4" w:rsidP="004C49AF">
      <w:pPr>
        <w:pStyle w:val="paragraph"/>
        <w:spacing w:before="0" w:beforeAutospacing="0" w:after="0" w:afterAutospacing="0"/>
        <w:jc w:val="center"/>
        <w:textAlignment w:val="baseline"/>
        <w:rPr>
          <w:rFonts w:ascii="Segoe UI" w:hAnsi="Segoe UI" w:cs="Segoe UI"/>
          <w:sz w:val="32"/>
          <w:szCs w:val="32"/>
        </w:rPr>
      </w:pPr>
      <w:r w:rsidRPr="00C05A19">
        <w:rPr>
          <w:rStyle w:val="normaltextrun"/>
          <w:rFonts w:ascii="Calibri" w:hAnsi="Calibri" w:cs="Calibri"/>
          <w:b/>
          <w:bCs/>
          <w:sz w:val="32"/>
          <w:szCs w:val="32"/>
        </w:rPr>
        <w:t>TERMS OF REFERENCE </w:t>
      </w:r>
      <w:r w:rsidRPr="00C05A19">
        <w:rPr>
          <w:rStyle w:val="eop"/>
          <w:rFonts w:ascii="Calibri" w:hAnsi="Calibri" w:cs="Calibri"/>
          <w:sz w:val="32"/>
          <w:szCs w:val="32"/>
        </w:rPr>
        <w:t> </w:t>
      </w:r>
    </w:p>
    <w:p w14:paraId="04BCF6E2" w14:textId="77777777" w:rsidR="00B645A1" w:rsidRPr="00D21998" w:rsidRDefault="00B645A1" w:rsidP="004C49AF">
      <w:pPr>
        <w:pStyle w:val="paragraph"/>
        <w:spacing w:before="0" w:beforeAutospacing="0" w:after="0" w:afterAutospacing="0"/>
        <w:jc w:val="center"/>
        <w:textAlignment w:val="baseline"/>
        <w:rPr>
          <w:rStyle w:val="normaltextrun"/>
          <w:rFonts w:ascii="Calibri" w:hAnsi="Calibri" w:cs="Calibri"/>
          <w:b/>
          <w:bCs/>
          <w:i/>
          <w:iCs/>
          <w:sz w:val="22"/>
          <w:szCs w:val="22"/>
        </w:rPr>
      </w:pPr>
    </w:p>
    <w:p w14:paraId="0181AF8E" w14:textId="2720DB6E" w:rsidR="005160B4" w:rsidRPr="00D21998" w:rsidRDefault="005160B4" w:rsidP="004C49AF">
      <w:pPr>
        <w:pStyle w:val="paragraph"/>
        <w:spacing w:before="0" w:beforeAutospacing="0" w:after="0" w:afterAutospacing="0"/>
        <w:jc w:val="center"/>
        <w:textAlignment w:val="baseline"/>
        <w:rPr>
          <w:rFonts w:ascii="Segoe UI" w:hAnsi="Segoe UI" w:cs="Segoe UI"/>
          <w:sz w:val="18"/>
          <w:szCs w:val="18"/>
        </w:rPr>
      </w:pPr>
      <w:r w:rsidRPr="00D21998">
        <w:rPr>
          <w:rStyle w:val="normaltextrun"/>
          <w:rFonts w:ascii="Calibri" w:hAnsi="Calibri" w:cs="Calibri"/>
          <w:b/>
          <w:bCs/>
          <w:i/>
          <w:iCs/>
          <w:sz w:val="22"/>
          <w:szCs w:val="22"/>
        </w:rPr>
        <w:t>Assessing the</w:t>
      </w:r>
      <w:r w:rsidR="0088535E" w:rsidRPr="00D21998">
        <w:rPr>
          <w:rStyle w:val="normaltextrun"/>
          <w:rFonts w:ascii="Calibri" w:hAnsi="Calibri" w:cs="Calibri"/>
          <w:b/>
          <w:bCs/>
          <w:i/>
          <w:iCs/>
          <w:sz w:val="22"/>
          <w:szCs w:val="22"/>
        </w:rPr>
        <w:t xml:space="preserve"> </w:t>
      </w:r>
      <w:r w:rsidR="008A5A49">
        <w:rPr>
          <w:rStyle w:val="normaltextrun"/>
          <w:rFonts w:ascii="Calibri" w:hAnsi="Calibri" w:cs="Calibri"/>
          <w:b/>
          <w:bCs/>
          <w:i/>
          <w:iCs/>
          <w:sz w:val="22"/>
          <w:szCs w:val="22"/>
        </w:rPr>
        <w:t>E</w:t>
      </w:r>
      <w:r w:rsidR="0088535E" w:rsidRPr="00D21998">
        <w:rPr>
          <w:rStyle w:val="normaltextrun"/>
          <w:rFonts w:ascii="Calibri" w:hAnsi="Calibri" w:cs="Calibri"/>
          <w:b/>
          <w:bCs/>
          <w:i/>
          <w:iCs/>
          <w:sz w:val="22"/>
          <w:szCs w:val="22"/>
        </w:rPr>
        <w:t>ntrepreneurial</w:t>
      </w:r>
      <w:r w:rsidR="00AD4CCC" w:rsidRPr="00D21998">
        <w:rPr>
          <w:rStyle w:val="normaltextrun"/>
          <w:rFonts w:ascii="Calibri" w:hAnsi="Calibri" w:cs="Calibri"/>
          <w:b/>
          <w:bCs/>
          <w:i/>
          <w:iCs/>
          <w:sz w:val="22"/>
          <w:szCs w:val="22"/>
        </w:rPr>
        <w:t xml:space="preserve"> and </w:t>
      </w:r>
      <w:r w:rsidR="008A5A49">
        <w:rPr>
          <w:rStyle w:val="normaltextrun"/>
          <w:rFonts w:ascii="Calibri" w:hAnsi="Calibri" w:cs="Calibri"/>
          <w:b/>
          <w:bCs/>
          <w:i/>
          <w:iCs/>
          <w:sz w:val="22"/>
          <w:szCs w:val="22"/>
        </w:rPr>
        <w:t>B</w:t>
      </w:r>
      <w:r w:rsidR="00AD4CCC" w:rsidRPr="00D21998">
        <w:rPr>
          <w:rStyle w:val="normaltextrun"/>
          <w:rFonts w:ascii="Calibri" w:hAnsi="Calibri" w:cs="Calibri"/>
          <w:b/>
          <w:bCs/>
          <w:i/>
          <w:iCs/>
          <w:sz w:val="22"/>
          <w:szCs w:val="22"/>
        </w:rPr>
        <w:t>usiness</w:t>
      </w:r>
      <w:r w:rsidRPr="00D21998">
        <w:rPr>
          <w:rStyle w:val="normaltextrun"/>
          <w:rFonts w:ascii="Calibri" w:hAnsi="Calibri" w:cs="Calibri"/>
          <w:b/>
          <w:bCs/>
          <w:i/>
          <w:iCs/>
          <w:sz w:val="22"/>
          <w:szCs w:val="22"/>
        </w:rPr>
        <w:t xml:space="preserve"> </w:t>
      </w:r>
      <w:r w:rsidR="008A5A49">
        <w:rPr>
          <w:rStyle w:val="normaltextrun"/>
          <w:rFonts w:ascii="Calibri" w:hAnsi="Calibri" w:cs="Calibri"/>
          <w:b/>
          <w:bCs/>
          <w:i/>
          <w:iCs/>
          <w:sz w:val="22"/>
          <w:szCs w:val="22"/>
        </w:rPr>
        <w:t>L</w:t>
      </w:r>
      <w:r w:rsidRPr="00D21998">
        <w:rPr>
          <w:rStyle w:val="normaltextrun"/>
          <w:rFonts w:ascii="Calibri" w:hAnsi="Calibri" w:cs="Calibri"/>
          <w:b/>
          <w:bCs/>
          <w:i/>
          <w:iCs/>
          <w:sz w:val="22"/>
          <w:szCs w:val="22"/>
        </w:rPr>
        <w:t xml:space="preserve">andscape &amp; </w:t>
      </w:r>
      <w:r w:rsidR="008A5A49">
        <w:rPr>
          <w:rStyle w:val="normaltextrun"/>
          <w:rFonts w:ascii="Calibri" w:hAnsi="Calibri" w:cs="Calibri"/>
          <w:b/>
          <w:bCs/>
          <w:i/>
          <w:iCs/>
          <w:sz w:val="22"/>
          <w:szCs w:val="22"/>
        </w:rPr>
        <w:t>I</w:t>
      </w:r>
      <w:r w:rsidRPr="00D21998">
        <w:rPr>
          <w:rStyle w:val="normaltextrun"/>
          <w:rFonts w:ascii="Calibri" w:hAnsi="Calibri" w:cs="Calibri"/>
          <w:b/>
          <w:bCs/>
          <w:i/>
          <w:iCs/>
          <w:sz w:val="22"/>
          <w:szCs w:val="22"/>
        </w:rPr>
        <w:t xml:space="preserve">dentifying </w:t>
      </w:r>
      <w:r w:rsidR="008A5A49">
        <w:rPr>
          <w:rStyle w:val="normaltextrun"/>
          <w:rFonts w:ascii="Calibri" w:hAnsi="Calibri" w:cs="Calibri"/>
          <w:b/>
          <w:bCs/>
          <w:i/>
          <w:iCs/>
          <w:sz w:val="22"/>
          <w:szCs w:val="22"/>
        </w:rPr>
        <w:t>S</w:t>
      </w:r>
      <w:r w:rsidRPr="00D21998">
        <w:rPr>
          <w:rStyle w:val="normaltextrun"/>
          <w:rFonts w:ascii="Calibri" w:hAnsi="Calibri" w:cs="Calibri"/>
          <w:b/>
          <w:bCs/>
          <w:i/>
          <w:iCs/>
          <w:sz w:val="22"/>
          <w:szCs w:val="22"/>
        </w:rPr>
        <w:t xml:space="preserve">olutions to </w:t>
      </w:r>
      <w:r w:rsidR="008A5A49">
        <w:rPr>
          <w:rStyle w:val="normaltextrun"/>
          <w:rFonts w:ascii="Calibri" w:hAnsi="Calibri" w:cs="Calibri"/>
          <w:b/>
          <w:bCs/>
          <w:i/>
          <w:iCs/>
          <w:sz w:val="22"/>
          <w:szCs w:val="22"/>
        </w:rPr>
        <w:t>I</w:t>
      </w:r>
      <w:r w:rsidRPr="00D21998">
        <w:rPr>
          <w:rStyle w:val="normaltextrun"/>
          <w:rFonts w:ascii="Calibri" w:hAnsi="Calibri" w:cs="Calibri"/>
          <w:b/>
          <w:bCs/>
          <w:i/>
          <w:iCs/>
          <w:sz w:val="22"/>
          <w:szCs w:val="22"/>
        </w:rPr>
        <w:t xml:space="preserve">ncrease the </w:t>
      </w:r>
      <w:r w:rsidR="008A5A49">
        <w:rPr>
          <w:rStyle w:val="normaltextrun"/>
          <w:rFonts w:ascii="Calibri" w:hAnsi="Calibri" w:cs="Calibri"/>
          <w:b/>
          <w:bCs/>
          <w:i/>
          <w:iCs/>
          <w:sz w:val="22"/>
          <w:szCs w:val="22"/>
        </w:rPr>
        <w:t>P</w:t>
      </w:r>
      <w:r w:rsidRPr="00D21998">
        <w:rPr>
          <w:rStyle w:val="normaltextrun"/>
          <w:rFonts w:ascii="Calibri" w:hAnsi="Calibri" w:cs="Calibri"/>
          <w:b/>
          <w:bCs/>
          <w:i/>
          <w:iCs/>
          <w:sz w:val="22"/>
          <w:szCs w:val="22"/>
        </w:rPr>
        <w:t xml:space="preserve">articipation of Women in Entrepreneurship in Jamaica </w:t>
      </w:r>
    </w:p>
    <w:p w14:paraId="654D1BA1" w14:textId="77777777" w:rsidR="00A96F7E" w:rsidRPr="00D21998" w:rsidRDefault="00A96F7E" w:rsidP="004C49AF">
      <w:pPr>
        <w:pStyle w:val="paragraph"/>
        <w:spacing w:before="0" w:beforeAutospacing="0" w:after="0" w:afterAutospacing="0"/>
        <w:jc w:val="both"/>
        <w:textAlignment w:val="baseline"/>
        <w:rPr>
          <w:rStyle w:val="normaltextrun"/>
          <w:rFonts w:ascii="Calibri" w:hAnsi="Calibri" w:cs="Calibri"/>
          <w:b/>
          <w:bCs/>
          <w:sz w:val="22"/>
          <w:szCs w:val="22"/>
        </w:rPr>
      </w:pPr>
    </w:p>
    <w:p w14:paraId="67387F60" w14:textId="4037C37E" w:rsidR="005160B4" w:rsidRPr="00D21998" w:rsidRDefault="005160B4" w:rsidP="00224C22">
      <w:pPr>
        <w:pStyle w:val="paragraph"/>
        <w:numPr>
          <w:ilvl w:val="0"/>
          <w:numId w:val="33"/>
        </w:numPr>
        <w:spacing w:before="0" w:beforeAutospacing="0" w:after="0" w:afterAutospacing="0"/>
        <w:jc w:val="both"/>
        <w:textAlignment w:val="baseline"/>
        <w:rPr>
          <w:rFonts w:ascii="Segoe UI" w:hAnsi="Segoe UI" w:cs="Segoe UI"/>
          <w:sz w:val="18"/>
          <w:szCs w:val="18"/>
        </w:rPr>
      </w:pPr>
      <w:r w:rsidRPr="00D21998">
        <w:rPr>
          <w:rStyle w:val="normaltextrun"/>
          <w:rFonts w:ascii="Calibri" w:hAnsi="Calibri" w:cs="Calibri"/>
          <w:b/>
          <w:bCs/>
          <w:sz w:val="22"/>
          <w:szCs w:val="22"/>
        </w:rPr>
        <w:t>BACKGROUND</w:t>
      </w:r>
      <w:r w:rsidRPr="00D21998">
        <w:rPr>
          <w:rStyle w:val="eop"/>
          <w:rFonts w:ascii="Calibri" w:hAnsi="Calibri" w:cs="Calibri"/>
          <w:sz w:val="22"/>
          <w:szCs w:val="22"/>
        </w:rPr>
        <w:t> </w:t>
      </w:r>
    </w:p>
    <w:p w14:paraId="7D13D3BA" w14:textId="03077BF7" w:rsidR="005160B4" w:rsidRPr="00D21998" w:rsidRDefault="005160B4" w:rsidP="00C560A2">
      <w:pPr>
        <w:pStyle w:val="paragraph"/>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The Jamaican Government requested support from the Inter-American Development Bank (IDB) to create new avenues for growth</w:t>
      </w:r>
      <w:r w:rsidR="00BE7A03" w:rsidRPr="00D21998">
        <w:rPr>
          <w:rStyle w:val="normaltextrun"/>
          <w:rFonts w:ascii="Calibri" w:hAnsi="Calibri" w:cs="Calibri"/>
          <w:sz w:val="22"/>
          <w:szCs w:val="22"/>
        </w:rPr>
        <w:t>.</w:t>
      </w:r>
      <w:r w:rsidRPr="00D21998">
        <w:rPr>
          <w:rStyle w:val="normaltextrun"/>
          <w:rFonts w:ascii="Calibri" w:hAnsi="Calibri" w:cs="Calibri"/>
          <w:sz w:val="22"/>
          <w:szCs w:val="22"/>
        </w:rPr>
        <w:t xml:space="preserve"> </w:t>
      </w:r>
      <w:r w:rsidR="00BE7A03" w:rsidRPr="00D21998">
        <w:rPr>
          <w:rStyle w:val="normaltextrun"/>
          <w:rFonts w:ascii="Calibri" w:hAnsi="Calibri" w:cs="Calibri"/>
          <w:sz w:val="22"/>
          <w:szCs w:val="22"/>
        </w:rPr>
        <w:t>T</w:t>
      </w:r>
      <w:r w:rsidRPr="00D21998">
        <w:rPr>
          <w:rStyle w:val="normaltextrun"/>
          <w:rFonts w:ascii="Calibri" w:hAnsi="Calibri" w:cs="Calibri"/>
          <w:sz w:val="22"/>
          <w:szCs w:val="22"/>
        </w:rPr>
        <w:t>his resulted in the loan agreement that supports the Boosting Innovation, Growth and Entrepreneurship Ecosystems (BIGEE) Programme in Jamaica</w:t>
      </w:r>
      <w:r w:rsidR="00BE7A03" w:rsidRPr="00D21998">
        <w:rPr>
          <w:rStyle w:val="normaltextrun"/>
          <w:rFonts w:ascii="Calibri" w:hAnsi="Calibri" w:cs="Calibri"/>
          <w:sz w:val="22"/>
          <w:szCs w:val="22"/>
        </w:rPr>
        <w:t>, executed by the Development Bank of Jamaica (DBJ)</w:t>
      </w:r>
      <w:r w:rsidRPr="00D21998">
        <w:rPr>
          <w:rStyle w:val="normaltextrun"/>
          <w:rFonts w:ascii="Calibri" w:hAnsi="Calibri" w:cs="Calibri"/>
          <w:sz w:val="22"/>
          <w:szCs w:val="22"/>
        </w:rPr>
        <w:t xml:space="preserve">. The IDB BIGEE programme funding of US$25M will support Jamaica’s growth and employment objectives by: </w:t>
      </w:r>
    </w:p>
    <w:p w14:paraId="08983136" w14:textId="09C56731" w:rsidR="005160B4" w:rsidRPr="00D21998" w:rsidRDefault="005160B4" w:rsidP="00A84396">
      <w:pPr>
        <w:pStyle w:val="paragraph"/>
        <w:numPr>
          <w:ilvl w:val="0"/>
          <w:numId w:val="16"/>
        </w:numPr>
        <w:spacing w:before="0" w:beforeAutospacing="0"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Providing support and funding for the development and strengthening of a comprehensive innovation and entrepreneurship ecosystem that builds on the currently existing initiatives</w:t>
      </w:r>
      <w:r w:rsidR="00AD4CCC" w:rsidRPr="00D21998">
        <w:rPr>
          <w:rStyle w:val="normaltextrun"/>
          <w:rFonts w:ascii="Calibri" w:hAnsi="Calibri" w:cs="Calibri"/>
          <w:sz w:val="22"/>
          <w:szCs w:val="22"/>
        </w:rPr>
        <w:t>.</w:t>
      </w:r>
      <w:r w:rsidRPr="00D21998">
        <w:rPr>
          <w:rStyle w:val="normaltextrun"/>
          <w:rFonts w:ascii="Calibri" w:hAnsi="Calibri" w:cs="Calibri"/>
          <w:sz w:val="22"/>
          <w:szCs w:val="22"/>
        </w:rPr>
        <w:t xml:space="preserve">  </w:t>
      </w:r>
    </w:p>
    <w:p w14:paraId="330C9B26" w14:textId="7E225706" w:rsidR="005160B4" w:rsidRPr="00D21998" w:rsidRDefault="005160B4" w:rsidP="00C560A2">
      <w:pPr>
        <w:pStyle w:val="paragraph"/>
        <w:numPr>
          <w:ilvl w:val="0"/>
          <w:numId w:val="16"/>
        </w:numPr>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Providing effective business services to vulnerable entrepreneurs</w:t>
      </w:r>
      <w:r w:rsidR="00AD4CCC" w:rsidRPr="00D21998">
        <w:rPr>
          <w:rStyle w:val="normaltextrun"/>
          <w:rFonts w:ascii="Calibri" w:hAnsi="Calibri" w:cs="Calibri"/>
          <w:sz w:val="22"/>
          <w:szCs w:val="22"/>
        </w:rPr>
        <w:t>.</w:t>
      </w:r>
      <w:r w:rsidRPr="00D21998">
        <w:rPr>
          <w:rStyle w:val="normaltextrun"/>
          <w:rFonts w:ascii="Calibri" w:hAnsi="Calibri" w:cs="Calibri"/>
          <w:sz w:val="22"/>
          <w:szCs w:val="22"/>
        </w:rPr>
        <w:t xml:space="preserve"> </w:t>
      </w:r>
      <w:r w:rsidRPr="00D21998">
        <w:rPr>
          <w:rStyle w:val="normaltextrun"/>
          <w:rFonts w:ascii="Calibri" w:hAnsi="Calibri" w:cs="Calibri"/>
          <w:sz w:val="22"/>
          <w:szCs w:val="22"/>
        </w:rPr>
        <w:tab/>
      </w:r>
    </w:p>
    <w:p w14:paraId="39B07F6D" w14:textId="211D05FC" w:rsidR="005160B4" w:rsidRPr="00D21998" w:rsidRDefault="005160B4" w:rsidP="00C560A2">
      <w:pPr>
        <w:pStyle w:val="paragraph"/>
        <w:numPr>
          <w:ilvl w:val="0"/>
          <w:numId w:val="16"/>
        </w:numPr>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 xml:space="preserve">Promoting a culture of entrepreneurship and innovation; and  </w:t>
      </w:r>
      <w:r w:rsidRPr="00D21998">
        <w:rPr>
          <w:rStyle w:val="normaltextrun"/>
          <w:rFonts w:ascii="Calibri" w:hAnsi="Calibri" w:cs="Calibri"/>
          <w:sz w:val="22"/>
          <w:szCs w:val="22"/>
        </w:rPr>
        <w:tab/>
      </w:r>
    </w:p>
    <w:p w14:paraId="79CDF792" w14:textId="3847FB43" w:rsidR="005160B4" w:rsidRPr="00D21998" w:rsidRDefault="005160B4" w:rsidP="00C560A2">
      <w:pPr>
        <w:pStyle w:val="paragraph"/>
        <w:numPr>
          <w:ilvl w:val="0"/>
          <w:numId w:val="16"/>
        </w:numPr>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Democratizing access to equity through a set of funds, including venture capital (VC)</w:t>
      </w:r>
      <w:r w:rsidR="00AD4CCC" w:rsidRPr="00D21998">
        <w:rPr>
          <w:rStyle w:val="normaltextrun"/>
          <w:rFonts w:ascii="Calibri" w:hAnsi="Calibri" w:cs="Calibri"/>
          <w:sz w:val="22"/>
          <w:szCs w:val="22"/>
        </w:rPr>
        <w:t>.</w:t>
      </w:r>
    </w:p>
    <w:p w14:paraId="26CDE312" w14:textId="07321EC4" w:rsidR="005160B4" w:rsidRPr="00D21998" w:rsidRDefault="76364D9E" w:rsidP="00C560A2">
      <w:pPr>
        <w:pStyle w:val="paragraph"/>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The IDB has facilitated access to US$8M from the European Union (EU) for the Government of Jamaica to bolster the activities of the BIGEE programme with specific focus on gender issues, Covid-19 relief and climate change adaptation and mitigation initiatives. Through the execution of the BIGEE programme, it has been identified that segments of the entrepreneurial landscape are skewed towards the male population in Jamaica.</w:t>
      </w:r>
    </w:p>
    <w:p w14:paraId="2775E553" w14:textId="20E92D69" w:rsidR="005160B4" w:rsidRPr="00D21998" w:rsidRDefault="76364D9E" w:rsidP="00C560A2">
      <w:pPr>
        <w:pStyle w:val="paragraph"/>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Despite the various barriers that exist for women-led enterprises, an increasing number of women across the world have established start-ups in different industries. According to a report by American Express, there are nearly 13 million women-owned businesses in the U.S. alone, which means, women own 4 out of 10 businesses and generate about $1.8 trillion annually. Despite more women engaging in entrepreneurship, they still face many challenges that make it difficult to them to grow and scale their businesses. Such barriers include limited funding, gender biases and limited government support, all of which continue to limit women’s ability to engage in high-value creating entrepreneurship.</w:t>
      </w:r>
      <w:r w:rsidR="005160B4" w:rsidRPr="00D21998">
        <w:rPr>
          <w:rStyle w:val="FootnoteReference"/>
          <w:rFonts w:ascii="Calibri" w:hAnsi="Calibri" w:cs="Calibri"/>
          <w:sz w:val="22"/>
          <w:szCs w:val="22"/>
        </w:rPr>
        <w:footnoteReference w:id="1"/>
      </w:r>
    </w:p>
    <w:p w14:paraId="28830C2B" w14:textId="77777777" w:rsidR="00A96F7E" w:rsidRPr="00D21998" w:rsidRDefault="2A8763DD" w:rsidP="00C560A2">
      <w:pPr>
        <w:pStyle w:val="paragraph"/>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A 2020 CAPRI study identified four main categories of barriers limiting women’s involvement in entrepreneurship, namely:</w:t>
      </w:r>
    </w:p>
    <w:p w14:paraId="182FC4E9" w14:textId="4994B806" w:rsidR="00A96F7E" w:rsidRPr="00D21998" w:rsidRDefault="005160B4" w:rsidP="00C560A2">
      <w:pPr>
        <w:pStyle w:val="paragraph"/>
        <w:numPr>
          <w:ilvl w:val="0"/>
          <w:numId w:val="18"/>
        </w:numPr>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Personal barriers</w:t>
      </w:r>
      <w:r w:rsidR="00A96F7E" w:rsidRPr="00D21998">
        <w:rPr>
          <w:rStyle w:val="normaltextrun"/>
          <w:rFonts w:ascii="Calibri" w:hAnsi="Calibri" w:cs="Calibri"/>
          <w:sz w:val="22"/>
          <w:szCs w:val="22"/>
        </w:rPr>
        <w:t xml:space="preserve"> </w:t>
      </w:r>
    </w:p>
    <w:p w14:paraId="63B03FB3" w14:textId="6964A0B5" w:rsidR="00A96F7E" w:rsidRPr="00D21998" w:rsidRDefault="005160B4" w:rsidP="00C560A2">
      <w:pPr>
        <w:pStyle w:val="paragraph"/>
        <w:numPr>
          <w:ilvl w:val="0"/>
          <w:numId w:val="18"/>
        </w:numPr>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Financial barriers</w:t>
      </w:r>
      <w:r w:rsidR="00A96F7E" w:rsidRPr="00D21998">
        <w:rPr>
          <w:rStyle w:val="normaltextrun"/>
          <w:rFonts w:ascii="Calibri" w:hAnsi="Calibri" w:cs="Calibri"/>
          <w:sz w:val="22"/>
          <w:szCs w:val="22"/>
        </w:rPr>
        <w:t xml:space="preserve"> </w:t>
      </w:r>
    </w:p>
    <w:p w14:paraId="0E04264A" w14:textId="54763A7C" w:rsidR="00A96F7E" w:rsidRPr="00D21998" w:rsidRDefault="005160B4" w:rsidP="00C560A2">
      <w:pPr>
        <w:pStyle w:val="paragraph"/>
        <w:numPr>
          <w:ilvl w:val="0"/>
          <w:numId w:val="18"/>
        </w:numPr>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Socio-cultural barriers</w:t>
      </w:r>
      <w:r w:rsidR="00A96F7E" w:rsidRPr="00D21998">
        <w:rPr>
          <w:rStyle w:val="normaltextrun"/>
          <w:rFonts w:ascii="Calibri" w:hAnsi="Calibri" w:cs="Calibri"/>
          <w:sz w:val="22"/>
          <w:szCs w:val="22"/>
        </w:rPr>
        <w:t xml:space="preserve"> </w:t>
      </w:r>
    </w:p>
    <w:p w14:paraId="24231A62" w14:textId="2779CA5B" w:rsidR="005160B4" w:rsidRPr="00D21998" w:rsidRDefault="2A8763DD" w:rsidP="00C560A2">
      <w:pPr>
        <w:pStyle w:val="paragraph"/>
        <w:numPr>
          <w:ilvl w:val="0"/>
          <w:numId w:val="18"/>
        </w:numPr>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 xml:space="preserve">Knowledge, training and development barriers </w:t>
      </w:r>
    </w:p>
    <w:p w14:paraId="4472D05B" w14:textId="0CFE63ED" w:rsidR="004F424E" w:rsidRPr="00D21998" w:rsidRDefault="2A8763DD" w:rsidP="00105030">
      <w:pPr>
        <w:pStyle w:val="paragraph"/>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 xml:space="preserve">A key observation made while executing the BIGEE programme is that the percentage of female-led businesses tends to reduce as the pool of businesses moves through the different stages of the business lifecycle. </w:t>
      </w:r>
      <w:r w:rsidR="006C3707" w:rsidRPr="00D21998">
        <w:rPr>
          <w:rStyle w:val="normaltextrun"/>
          <w:rFonts w:ascii="Calibri" w:hAnsi="Calibri" w:cs="Calibri"/>
          <w:sz w:val="22"/>
          <w:szCs w:val="22"/>
        </w:rPr>
        <w:t xml:space="preserve">As outlined below, the programme primarily supporting micro enterprises, the VTAP, has seen </w:t>
      </w:r>
      <w:r w:rsidR="006C3707" w:rsidRPr="00D21998">
        <w:rPr>
          <w:rStyle w:val="normaltextrun"/>
          <w:rFonts w:ascii="Calibri" w:hAnsi="Calibri" w:cs="Calibri"/>
          <w:sz w:val="22"/>
          <w:szCs w:val="22"/>
        </w:rPr>
        <w:lastRenderedPageBreak/>
        <w:t xml:space="preserve">most beneficiaries being female-led businesses. There is a vast difference between the </w:t>
      </w:r>
      <w:r w:rsidR="00B645A1" w:rsidRPr="00D21998">
        <w:rPr>
          <w:rStyle w:val="normaltextrun"/>
          <w:rFonts w:ascii="Calibri" w:hAnsi="Calibri" w:cs="Calibri"/>
          <w:sz w:val="22"/>
          <w:szCs w:val="22"/>
        </w:rPr>
        <w:t xml:space="preserve">gender distribution with the </w:t>
      </w:r>
      <w:r w:rsidR="006C3707" w:rsidRPr="00D21998">
        <w:rPr>
          <w:rStyle w:val="normaltextrun"/>
          <w:rFonts w:ascii="Calibri" w:hAnsi="Calibri" w:cs="Calibri"/>
          <w:sz w:val="22"/>
          <w:szCs w:val="22"/>
        </w:rPr>
        <w:t>VTAP beneficiaries and that of the Innovation Grant Fund which supports medium-sized businesses</w:t>
      </w:r>
      <w:r w:rsidR="00B645A1" w:rsidRPr="00D21998">
        <w:rPr>
          <w:rStyle w:val="normaltextrun"/>
          <w:rFonts w:ascii="Calibri" w:hAnsi="Calibri" w:cs="Calibri"/>
          <w:sz w:val="22"/>
          <w:szCs w:val="22"/>
        </w:rPr>
        <w:t>.</w:t>
      </w:r>
    </w:p>
    <w:tbl>
      <w:tblPr>
        <w:tblStyle w:val="TableGrid"/>
        <w:tblW w:w="0" w:type="auto"/>
        <w:tblInd w:w="360" w:type="dxa"/>
        <w:tblLook w:val="04A0" w:firstRow="1" w:lastRow="0" w:firstColumn="1" w:lastColumn="0" w:noHBand="0" w:noVBand="1"/>
      </w:tblPr>
      <w:tblGrid>
        <w:gridCol w:w="2998"/>
        <w:gridCol w:w="3583"/>
        <w:gridCol w:w="2409"/>
      </w:tblGrid>
      <w:tr w:rsidR="004F424E" w:rsidRPr="00D21998" w14:paraId="47298E1F" w14:textId="77777777" w:rsidTr="004C49AF">
        <w:tc>
          <w:tcPr>
            <w:tcW w:w="2998" w:type="dxa"/>
            <w:vAlign w:val="center"/>
          </w:tcPr>
          <w:p w14:paraId="1AD6EAC3" w14:textId="378E1436" w:rsidR="004F424E" w:rsidRPr="00D21998" w:rsidRDefault="0065327E" w:rsidP="004C49AF">
            <w:pPr>
              <w:pStyle w:val="paragraph"/>
              <w:spacing w:after="0"/>
              <w:jc w:val="center"/>
              <w:textAlignment w:val="baseline"/>
              <w:rPr>
                <w:rStyle w:val="normaltextrun"/>
                <w:rFonts w:ascii="Calibri" w:hAnsi="Calibri" w:cs="Calibri"/>
                <w:b/>
                <w:bCs/>
                <w:sz w:val="22"/>
                <w:szCs w:val="22"/>
              </w:rPr>
            </w:pPr>
            <w:r w:rsidRPr="00D21998">
              <w:rPr>
                <w:rStyle w:val="normaltextrun"/>
                <w:rFonts w:ascii="Calibri" w:hAnsi="Calibri" w:cs="Calibri"/>
                <w:b/>
                <w:bCs/>
                <w:sz w:val="22"/>
                <w:szCs w:val="22"/>
              </w:rPr>
              <w:t xml:space="preserve">BIGEE funded </w:t>
            </w:r>
            <w:proofErr w:type="spellStart"/>
            <w:r w:rsidRPr="00D21998">
              <w:rPr>
                <w:rStyle w:val="normaltextrun"/>
                <w:rFonts w:ascii="Calibri" w:hAnsi="Calibri" w:cs="Calibri"/>
                <w:b/>
                <w:bCs/>
                <w:sz w:val="22"/>
                <w:szCs w:val="22"/>
              </w:rPr>
              <w:t>programmes</w:t>
            </w:r>
            <w:proofErr w:type="spellEnd"/>
          </w:p>
        </w:tc>
        <w:tc>
          <w:tcPr>
            <w:tcW w:w="3583" w:type="dxa"/>
            <w:vAlign w:val="center"/>
          </w:tcPr>
          <w:p w14:paraId="41F905E1" w14:textId="792AD556" w:rsidR="004F424E" w:rsidRPr="00D21998" w:rsidRDefault="008C53E4" w:rsidP="004C49AF">
            <w:pPr>
              <w:pStyle w:val="paragraph"/>
              <w:spacing w:after="0"/>
              <w:jc w:val="center"/>
              <w:textAlignment w:val="baseline"/>
              <w:rPr>
                <w:rStyle w:val="normaltextrun"/>
                <w:rFonts w:ascii="Calibri" w:hAnsi="Calibri" w:cs="Calibri"/>
                <w:b/>
                <w:bCs/>
                <w:sz w:val="22"/>
                <w:szCs w:val="22"/>
              </w:rPr>
            </w:pPr>
            <w:r w:rsidRPr="00D21998">
              <w:rPr>
                <w:rStyle w:val="normaltextrun"/>
                <w:rFonts w:ascii="Calibri" w:hAnsi="Calibri" w:cs="Calibri"/>
                <w:b/>
                <w:bCs/>
                <w:sz w:val="22"/>
                <w:szCs w:val="22"/>
              </w:rPr>
              <w:t>Target group</w:t>
            </w:r>
          </w:p>
        </w:tc>
        <w:tc>
          <w:tcPr>
            <w:tcW w:w="2409" w:type="dxa"/>
            <w:vAlign w:val="center"/>
          </w:tcPr>
          <w:p w14:paraId="0963726E" w14:textId="7DA0674C" w:rsidR="004F424E" w:rsidRPr="00D21998" w:rsidRDefault="004F424E" w:rsidP="004C49AF">
            <w:pPr>
              <w:pStyle w:val="paragraph"/>
              <w:spacing w:after="0"/>
              <w:jc w:val="center"/>
              <w:textAlignment w:val="baseline"/>
              <w:rPr>
                <w:rStyle w:val="normaltextrun"/>
                <w:rFonts w:ascii="Calibri" w:hAnsi="Calibri" w:cs="Calibri"/>
                <w:b/>
                <w:bCs/>
                <w:sz w:val="22"/>
                <w:szCs w:val="22"/>
              </w:rPr>
            </w:pPr>
            <w:r w:rsidRPr="00D21998">
              <w:rPr>
                <w:rStyle w:val="normaltextrun"/>
                <w:rFonts w:ascii="Calibri" w:hAnsi="Calibri" w:cs="Calibri"/>
                <w:b/>
                <w:bCs/>
                <w:sz w:val="22"/>
                <w:szCs w:val="22"/>
              </w:rPr>
              <w:t>Percentage of Female-led businesses</w:t>
            </w:r>
          </w:p>
        </w:tc>
      </w:tr>
      <w:tr w:rsidR="004F424E" w:rsidRPr="00D21998" w14:paraId="73279A6A" w14:textId="77777777" w:rsidTr="004C49AF">
        <w:tc>
          <w:tcPr>
            <w:tcW w:w="2998" w:type="dxa"/>
            <w:vAlign w:val="center"/>
          </w:tcPr>
          <w:p w14:paraId="203E22E4" w14:textId="52EF6110" w:rsidR="004F424E" w:rsidRPr="00D21998" w:rsidRDefault="004F424E" w:rsidP="004C49AF">
            <w:pPr>
              <w:pStyle w:val="paragraph"/>
              <w:spacing w:after="0"/>
              <w:textAlignment w:val="baseline"/>
              <w:rPr>
                <w:rStyle w:val="normaltextrun"/>
                <w:rFonts w:ascii="Calibri" w:hAnsi="Calibri" w:cs="Calibri"/>
                <w:sz w:val="22"/>
                <w:szCs w:val="22"/>
              </w:rPr>
            </w:pPr>
            <w:r w:rsidRPr="00D21998">
              <w:rPr>
                <w:rStyle w:val="normaltextrun"/>
                <w:rFonts w:ascii="Calibri" w:hAnsi="Calibri" w:cs="Calibri"/>
                <w:sz w:val="22"/>
                <w:szCs w:val="22"/>
              </w:rPr>
              <w:t>Voucher for Technical Assistance Programme (VTAP)</w:t>
            </w:r>
          </w:p>
        </w:tc>
        <w:tc>
          <w:tcPr>
            <w:tcW w:w="3583" w:type="dxa"/>
            <w:vAlign w:val="center"/>
          </w:tcPr>
          <w:p w14:paraId="0ACD4053" w14:textId="2F580722" w:rsidR="004F424E" w:rsidRPr="00D21998" w:rsidRDefault="004F424E" w:rsidP="004C49AF">
            <w:pPr>
              <w:pStyle w:val="paragraph"/>
              <w:spacing w:after="0"/>
              <w:textAlignment w:val="baseline"/>
              <w:rPr>
                <w:rStyle w:val="normaltextrun"/>
                <w:rFonts w:ascii="Calibri" w:hAnsi="Calibri" w:cs="Calibri"/>
                <w:sz w:val="22"/>
                <w:szCs w:val="22"/>
              </w:rPr>
            </w:pPr>
            <w:r w:rsidRPr="00D21998">
              <w:rPr>
                <w:rStyle w:val="normaltextrun"/>
                <w:rFonts w:ascii="Calibri" w:hAnsi="Calibri" w:cs="Calibri"/>
                <w:sz w:val="22"/>
                <w:szCs w:val="22"/>
              </w:rPr>
              <w:t>Primarily supports micro enterprises</w:t>
            </w:r>
          </w:p>
        </w:tc>
        <w:tc>
          <w:tcPr>
            <w:tcW w:w="2409" w:type="dxa"/>
            <w:vAlign w:val="center"/>
          </w:tcPr>
          <w:p w14:paraId="7F296C2B" w14:textId="2686E65D" w:rsidR="004F424E" w:rsidRPr="00D21998" w:rsidRDefault="004F424E" w:rsidP="005823ED">
            <w:pPr>
              <w:pStyle w:val="paragraph"/>
              <w:spacing w:after="0"/>
              <w:jc w:val="center"/>
              <w:textAlignment w:val="baseline"/>
              <w:rPr>
                <w:rStyle w:val="normaltextrun"/>
                <w:rFonts w:ascii="Calibri" w:hAnsi="Calibri" w:cs="Calibri"/>
                <w:sz w:val="22"/>
                <w:szCs w:val="22"/>
              </w:rPr>
            </w:pPr>
            <w:r w:rsidRPr="00D21998">
              <w:rPr>
                <w:rStyle w:val="normaltextrun"/>
                <w:rFonts w:ascii="Calibri" w:hAnsi="Calibri" w:cs="Calibri"/>
                <w:sz w:val="22"/>
                <w:szCs w:val="22"/>
              </w:rPr>
              <w:t>60%</w:t>
            </w:r>
          </w:p>
        </w:tc>
      </w:tr>
      <w:tr w:rsidR="004F424E" w:rsidRPr="00D21998" w14:paraId="4015A248" w14:textId="77777777" w:rsidTr="004C49AF">
        <w:tc>
          <w:tcPr>
            <w:tcW w:w="2998" w:type="dxa"/>
            <w:vAlign w:val="center"/>
          </w:tcPr>
          <w:p w14:paraId="515BCAD2" w14:textId="58F39200" w:rsidR="004F424E" w:rsidRPr="00D21998" w:rsidRDefault="004F424E" w:rsidP="004C49AF">
            <w:pPr>
              <w:pStyle w:val="paragraph"/>
              <w:spacing w:after="0"/>
              <w:textAlignment w:val="baseline"/>
              <w:rPr>
                <w:rStyle w:val="normaltextrun"/>
                <w:rFonts w:ascii="Calibri" w:hAnsi="Calibri" w:cs="Calibri"/>
                <w:sz w:val="22"/>
                <w:szCs w:val="22"/>
              </w:rPr>
            </w:pPr>
            <w:r w:rsidRPr="00D21998">
              <w:rPr>
                <w:rStyle w:val="normaltextrun"/>
                <w:rFonts w:ascii="Calibri" w:hAnsi="Calibri" w:cs="Calibri"/>
                <w:sz w:val="22"/>
                <w:szCs w:val="22"/>
              </w:rPr>
              <w:t>IGNITE programme</w:t>
            </w:r>
          </w:p>
        </w:tc>
        <w:tc>
          <w:tcPr>
            <w:tcW w:w="3583" w:type="dxa"/>
            <w:vAlign w:val="center"/>
          </w:tcPr>
          <w:p w14:paraId="4980ACEF" w14:textId="0654C593" w:rsidR="004F424E" w:rsidRPr="00D21998" w:rsidRDefault="004F424E" w:rsidP="004C49AF">
            <w:pPr>
              <w:pStyle w:val="paragraph"/>
              <w:spacing w:after="0"/>
              <w:textAlignment w:val="baseline"/>
              <w:rPr>
                <w:rStyle w:val="normaltextrun"/>
                <w:rFonts w:ascii="Calibri" w:hAnsi="Calibri" w:cs="Calibri"/>
                <w:sz w:val="22"/>
                <w:szCs w:val="22"/>
              </w:rPr>
            </w:pPr>
            <w:r w:rsidRPr="00D21998">
              <w:rPr>
                <w:rStyle w:val="normaltextrun"/>
                <w:rFonts w:ascii="Calibri" w:hAnsi="Calibri" w:cs="Calibri"/>
                <w:sz w:val="22"/>
                <w:szCs w:val="22"/>
              </w:rPr>
              <w:t xml:space="preserve">Supports </w:t>
            </w:r>
            <w:r w:rsidR="008C53E4" w:rsidRPr="00D21998">
              <w:rPr>
                <w:rStyle w:val="normaltextrun"/>
                <w:rFonts w:ascii="Calibri" w:hAnsi="Calibri" w:cs="Calibri"/>
                <w:sz w:val="22"/>
                <w:szCs w:val="22"/>
              </w:rPr>
              <w:t xml:space="preserve">small companies - </w:t>
            </w:r>
            <w:r w:rsidRPr="00D21998">
              <w:rPr>
                <w:rStyle w:val="normaltextrun"/>
                <w:rFonts w:ascii="Calibri" w:hAnsi="Calibri" w:cs="Calibri"/>
                <w:sz w:val="22"/>
                <w:szCs w:val="22"/>
              </w:rPr>
              <w:t>startups and scale ups</w:t>
            </w:r>
          </w:p>
        </w:tc>
        <w:tc>
          <w:tcPr>
            <w:tcW w:w="2409" w:type="dxa"/>
            <w:vAlign w:val="center"/>
          </w:tcPr>
          <w:p w14:paraId="68773413" w14:textId="26019480" w:rsidR="004F424E" w:rsidRPr="00D21998" w:rsidRDefault="004F424E" w:rsidP="005823ED">
            <w:pPr>
              <w:pStyle w:val="paragraph"/>
              <w:spacing w:after="0"/>
              <w:jc w:val="center"/>
              <w:textAlignment w:val="baseline"/>
              <w:rPr>
                <w:rStyle w:val="normaltextrun"/>
                <w:rFonts w:ascii="Calibri" w:hAnsi="Calibri" w:cs="Calibri"/>
                <w:sz w:val="22"/>
                <w:szCs w:val="22"/>
              </w:rPr>
            </w:pPr>
            <w:r w:rsidRPr="00D21998">
              <w:rPr>
                <w:rStyle w:val="normaltextrun"/>
                <w:rFonts w:ascii="Calibri" w:hAnsi="Calibri" w:cs="Calibri"/>
                <w:sz w:val="22"/>
                <w:szCs w:val="22"/>
              </w:rPr>
              <w:t>40%</w:t>
            </w:r>
          </w:p>
        </w:tc>
      </w:tr>
      <w:tr w:rsidR="004F424E" w:rsidRPr="00D21998" w14:paraId="23CEC0D5" w14:textId="77777777" w:rsidTr="004C49AF">
        <w:tc>
          <w:tcPr>
            <w:tcW w:w="2998" w:type="dxa"/>
            <w:vAlign w:val="center"/>
          </w:tcPr>
          <w:p w14:paraId="0C96FA3F" w14:textId="40B9A292" w:rsidR="004F424E" w:rsidRPr="00D21998" w:rsidRDefault="004F424E" w:rsidP="004C49AF">
            <w:pPr>
              <w:pStyle w:val="paragraph"/>
              <w:spacing w:after="0"/>
              <w:textAlignment w:val="baseline"/>
              <w:rPr>
                <w:rStyle w:val="normaltextrun"/>
                <w:rFonts w:ascii="Calibri" w:hAnsi="Calibri" w:cs="Calibri"/>
                <w:sz w:val="22"/>
                <w:szCs w:val="22"/>
              </w:rPr>
            </w:pPr>
            <w:r w:rsidRPr="00D21998">
              <w:rPr>
                <w:rStyle w:val="normaltextrun"/>
                <w:rFonts w:ascii="Calibri" w:hAnsi="Calibri" w:cs="Calibri"/>
                <w:sz w:val="22"/>
                <w:szCs w:val="22"/>
              </w:rPr>
              <w:t>Innovation Grant Fund</w:t>
            </w:r>
          </w:p>
        </w:tc>
        <w:tc>
          <w:tcPr>
            <w:tcW w:w="3583" w:type="dxa"/>
            <w:vAlign w:val="center"/>
          </w:tcPr>
          <w:p w14:paraId="170AF3AB" w14:textId="5F13D94C" w:rsidR="004F424E" w:rsidRPr="00D21998" w:rsidRDefault="004F424E" w:rsidP="004C49AF">
            <w:pPr>
              <w:pStyle w:val="paragraph"/>
              <w:spacing w:after="0"/>
              <w:textAlignment w:val="baseline"/>
              <w:rPr>
                <w:rStyle w:val="normaltextrun"/>
                <w:rFonts w:ascii="Calibri" w:hAnsi="Calibri" w:cs="Calibri"/>
                <w:sz w:val="22"/>
                <w:szCs w:val="22"/>
              </w:rPr>
            </w:pPr>
            <w:r w:rsidRPr="00D21998">
              <w:rPr>
                <w:rStyle w:val="normaltextrun"/>
                <w:rFonts w:ascii="Calibri" w:hAnsi="Calibri" w:cs="Calibri"/>
                <w:sz w:val="22"/>
                <w:szCs w:val="22"/>
              </w:rPr>
              <w:t xml:space="preserve">Supports medium-sized </w:t>
            </w:r>
            <w:r w:rsidR="008C53E4" w:rsidRPr="00D21998">
              <w:rPr>
                <w:rStyle w:val="normaltextrun"/>
                <w:rFonts w:ascii="Calibri" w:hAnsi="Calibri" w:cs="Calibri"/>
                <w:sz w:val="22"/>
                <w:szCs w:val="22"/>
              </w:rPr>
              <w:t xml:space="preserve">or </w:t>
            </w:r>
            <w:r w:rsidRPr="00D21998">
              <w:rPr>
                <w:rStyle w:val="normaltextrun"/>
                <w:rFonts w:ascii="Calibri" w:hAnsi="Calibri" w:cs="Calibri"/>
                <w:sz w:val="22"/>
                <w:szCs w:val="22"/>
              </w:rPr>
              <w:t>established businesses</w:t>
            </w:r>
          </w:p>
        </w:tc>
        <w:tc>
          <w:tcPr>
            <w:tcW w:w="2409" w:type="dxa"/>
            <w:vAlign w:val="center"/>
          </w:tcPr>
          <w:p w14:paraId="1A32A41E" w14:textId="7A450EFA" w:rsidR="004F424E" w:rsidRPr="00D21998" w:rsidRDefault="004F424E" w:rsidP="005823ED">
            <w:pPr>
              <w:pStyle w:val="paragraph"/>
              <w:spacing w:after="0"/>
              <w:jc w:val="center"/>
              <w:textAlignment w:val="baseline"/>
              <w:rPr>
                <w:rStyle w:val="normaltextrun"/>
                <w:rFonts w:ascii="Calibri" w:hAnsi="Calibri" w:cs="Calibri"/>
                <w:sz w:val="22"/>
                <w:szCs w:val="22"/>
              </w:rPr>
            </w:pPr>
            <w:r w:rsidRPr="00D21998">
              <w:rPr>
                <w:rStyle w:val="normaltextrun"/>
                <w:rFonts w:ascii="Calibri" w:hAnsi="Calibri" w:cs="Calibri"/>
                <w:sz w:val="22"/>
                <w:szCs w:val="22"/>
              </w:rPr>
              <w:t>15%</w:t>
            </w:r>
          </w:p>
        </w:tc>
      </w:tr>
    </w:tbl>
    <w:p w14:paraId="71B7EDBA" w14:textId="4F1DF63D" w:rsidR="005160B4" w:rsidRPr="00D21998" w:rsidRDefault="76364D9E" w:rsidP="00105030">
      <w:pPr>
        <w:pStyle w:val="paragraph"/>
        <w:spacing w:after="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This trend suggests that the growth of female-owned and operated businesses is limited</w:t>
      </w:r>
      <w:r w:rsidR="00B645A1" w:rsidRPr="00D21998">
        <w:rPr>
          <w:rStyle w:val="normaltextrun"/>
          <w:rFonts w:ascii="Calibri" w:hAnsi="Calibri" w:cs="Calibri"/>
          <w:sz w:val="22"/>
          <w:szCs w:val="22"/>
        </w:rPr>
        <w:t xml:space="preserve"> or that there are some challenges with outreach or design of the </w:t>
      </w:r>
      <w:proofErr w:type="spellStart"/>
      <w:r w:rsidR="00B645A1" w:rsidRPr="00D21998">
        <w:rPr>
          <w:rStyle w:val="normaltextrun"/>
          <w:rFonts w:ascii="Calibri" w:hAnsi="Calibri" w:cs="Calibri"/>
          <w:sz w:val="22"/>
          <w:szCs w:val="22"/>
        </w:rPr>
        <w:t>programmes</w:t>
      </w:r>
      <w:proofErr w:type="spellEnd"/>
      <w:r w:rsidR="00B645A1" w:rsidRPr="00D21998">
        <w:rPr>
          <w:rStyle w:val="normaltextrun"/>
          <w:rFonts w:ascii="Calibri" w:hAnsi="Calibri" w:cs="Calibri"/>
          <w:sz w:val="22"/>
          <w:szCs w:val="22"/>
        </w:rPr>
        <w:t xml:space="preserve"> which increasing limit the participation of female-owned businesses.</w:t>
      </w:r>
    </w:p>
    <w:p w14:paraId="46F4D9AB" w14:textId="5328DF3B" w:rsidR="00FA33CA" w:rsidRPr="00D21998" w:rsidRDefault="76364D9E">
      <w:pPr>
        <w:pStyle w:val="paragraph"/>
        <w:spacing w:before="0" w:beforeAutospacing="0" w:after="0" w:afterAutospacing="0"/>
        <w:jc w:val="both"/>
        <w:rPr>
          <w:rStyle w:val="normaltextrun"/>
          <w:rFonts w:ascii="Calibri" w:eastAsiaTheme="minorHAnsi" w:hAnsi="Calibri" w:cs="Calibri"/>
          <w:sz w:val="22"/>
          <w:szCs w:val="22"/>
        </w:rPr>
      </w:pPr>
      <w:r w:rsidRPr="00D21998">
        <w:rPr>
          <w:rStyle w:val="normaltextrun"/>
          <w:rFonts w:ascii="Calibri" w:hAnsi="Calibri" w:cs="Calibri"/>
          <w:sz w:val="22"/>
          <w:szCs w:val="22"/>
        </w:rPr>
        <w:t>The population of women entrepreneurs globally and in Jamaica specifically, is vastly understudied, despite the fact that female entrepreneurs are one of the fastest rising populations  and contribute significantly to innovation, job creation, and economic growth</w:t>
      </w:r>
      <w:r w:rsidR="005160B4" w:rsidRPr="00D21998">
        <w:rPr>
          <w:rStyle w:val="FootnoteReference"/>
          <w:rFonts w:ascii="Calibri" w:hAnsi="Calibri" w:cs="Calibri"/>
          <w:sz w:val="22"/>
          <w:szCs w:val="22"/>
        </w:rPr>
        <w:footnoteReference w:id="2"/>
      </w:r>
      <w:r w:rsidRPr="00D21998">
        <w:rPr>
          <w:rStyle w:val="normaltextrun"/>
          <w:rFonts w:ascii="Calibri" w:hAnsi="Calibri" w:cs="Calibri"/>
          <w:sz w:val="22"/>
          <w:szCs w:val="22"/>
        </w:rPr>
        <w:t xml:space="preserve">.  </w:t>
      </w:r>
    </w:p>
    <w:p w14:paraId="0FF100E7" w14:textId="77777777" w:rsidR="00FA33CA" w:rsidRPr="00D21998" w:rsidRDefault="00FA33CA" w:rsidP="00105030">
      <w:pPr>
        <w:pStyle w:val="paragraph"/>
        <w:spacing w:before="0" w:beforeAutospacing="0" w:after="0" w:afterAutospacing="0"/>
        <w:jc w:val="both"/>
        <w:textAlignment w:val="baseline"/>
        <w:rPr>
          <w:rStyle w:val="normaltextrun"/>
          <w:rFonts w:ascii="Calibri" w:hAnsi="Calibri" w:cs="Calibri"/>
          <w:sz w:val="22"/>
          <w:szCs w:val="22"/>
        </w:rPr>
      </w:pPr>
    </w:p>
    <w:p w14:paraId="0C74C162" w14:textId="5010ED57" w:rsidR="005160B4" w:rsidRPr="00D21998" w:rsidRDefault="76364D9E" w:rsidP="76364D9E">
      <w:pPr>
        <w:pStyle w:val="paragraph"/>
        <w:spacing w:before="0" w:beforeAutospacing="0" w:after="0" w:afterAutospacing="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One recommendation from Jamaica’s Micro, Small &amp; Medium Enterprises (MSME) &amp; Entrepreneurship Policy, is the need for more empirical research to outline the realities facing Jamaican women and to support the government’s efforts in combating identified barriers.</w:t>
      </w:r>
    </w:p>
    <w:p w14:paraId="7E165A67" w14:textId="77777777" w:rsidR="005160B4" w:rsidRPr="00D21998" w:rsidRDefault="005160B4" w:rsidP="00C560A2">
      <w:pPr>
        <w:pStyle w:val="paragraph"/>
        <w:spacing w:before="0" w:beforeAutospacing="0" w:after="0" w:afterAutospacing="0"/>
        <w:ind w:left="360"/>
        <w:jc w:val="both"/>
        <w:textAlignment w:val="baseline"/>
        <w:rPr>
          <w:rStyle w:val="normaltextrun"/>
          <w:rFonts w:ascii="Calibri" w:hAnsi="Calibri" w:cs="Calibri"/>
          <w:sz w:val="22"/>
          <w:szCs w:val="22"/>
        </w:rPr>
      </w:pPr>
    </w:p>
    <w:p w14:paraId="5C68701A" w14:textId="77777777" w:rsidR="005160B4" w:rsidRPr="00D21998" w:rsidRDefault="005160B4" w:rsidP="00105030">
      <w:pPr>
        <w:pStyle w:val="paragraph"/>
        <w:spacing w:before="0" w:beforeAutospacing="0" w:after="0" w:afterAutospacing="0"/>
        <w:jc w:val="both"/>
        <w:textAlignment w:val="baseline"/>
        <w:rPr>
          <w:rFonts w:ascii="Segoe UI" w:hAnsi="Segoe UI" w:cs="Segoe UI"/>
          <w:sz w:val="18"/>
          <w:szCs w:val="18"/>
        </w:rPr>
      </w:pPr>
      <w:r w:rsidRPr="00D21998">
        <w:rPr>
          <w:rStyle w:val="normaltextrun"/>
          <w:rFonts w:ascii="Calibri" w:hAnsi="Calibri" w:cs="Calibri"/>
          <w:b/>
          <w:bCs/>
          <w:smallCaps/>
          <w:sz w:val="22"/>
          <w:szCs w:val="22"/>
        </w:rPr>
        <w:t>Objective of the Programme</w:t>
      </w:r>
      <w:r w:rsidRPr="00D21998">
        <w:rPr>
          <w:rStyle w:val="eop"/>
          <w:rFonts w:ascii="Calibri" w:hAnsi="Calibri" w:cs="Calibri"/>
          <w:sz w:val="22"/>
          <w:szCs w:val="22"/>
        </w:rPr>
        <w:t> </w:t>
      </w:r>
    </w:p>
    <w:p w14:paraId="4F0A98AA" w14:textId="71C3D4D5" w:rsidR="002F1F5E" w:rsidRPr="00D21998" w:rsidRDefault="005160B4" w:rsidP="00105030">
      <w:pPr>
        <w:pStyle w:val="paragraph"/>
        <w:spacing w:before="0" w:beforeAutospacing="0" w:after="0" w:afterAutospacing="0"/>
        <w:jc w:val="both"/>
        <w:textAlignment w:val="baseline"/>
        <w:rPr>
          <w:rStyle w:val="normaltextrun"/>
          <w:rFonts w:ascii="Calibri" w:hAnsi="Calibri" w:cs="Calibri"/>
          <w:sz w:val="22"/>
          <w:szCs w:val="22"/>
        </w:rPr>
      </w:pPr>
      <w:r w:rsidRPr="00D21998">
        <w:rPr>
          <w:rStyle w:val="normaltextrun"/>
          <w:rFonts w:ascii="Calibri" w:hAnsi="Calibri" w:cs="Calibri"/>
          <w:sz w:val="22"/>
          <w:szCs w:val="22"/>
        </w:rPr>
        <w:t>The objective of the BIGEE Programme is to improve productivity in Jamaican firms by increasing private sector investment in innovation and, ultimately, growth among startups and MSMEs. T</w:t>
      </w:r>
      <w:r w:rsidR="00224C22" w:rsidRPr="00D21998">
        <w:rPr>
          <w:rStyle w:val="normaltextrun"/>
          <w:rFonts w:ascii="Calibri" w:hAnsi="Calibri" w:cs="Calibri"/>
          <w:sz w:val="22"/>
          <w:szCs w:val="22"/>
        </w:rPr>
        <w:t>he main components of the project are</w:t>
      </w:r>
      <w:r w:rsidR="002F1F5E" w:rsidRPr="00D21998">
        <w:rPr>
          <w:rStyle w:val="normaltextrun"/>
          <w:rFonts w:ascii="Calibri" w:hAnsi="Calibri" w:cs="Calibri"/>
          <w:sz w:val="22"/>
          <w:szCs w:val="22"/>
        </w:rPr>
        <w:t xml:space="preserve"> as follows</w:t>
      </w:r>
      <w:r w:rsidRPr="00D21998">
        <w:rPr>
          <w:rStyle w:val="normaltextrun"/>
          <w:rFonts w:ascii="Calibri" w:hAnsi="Calibri" w:cs="Calibri"/>
          <w:sz w:val="22"/>
          <w:szCs w:val="22"/>
        </w:rPr>
        <w:t>: </w:t>
      </w:r>
    </w:p>
    <w:p w14:paraId="2B8E7067" w14:textId="483FB4DF" w:rsidR="00105030" w:rsidRPr="00D21998" w:rsidRDefault="005160B4" w:rsidP="00105030">
      <w:pPr>
        <w:pStyle w:val="paragraph"/>
        <w:spacing w:before="0" w:beforeAutospacing="0" w:after="0" w:afterAutospacing="0"/>
        <w:jc w:val="both"/>
        <w:textAlignment w:val="baseline"/>
        <w:rPr>
          <w:rStyle w:val="tabchar"/>
          <w:rFonts w:ascii="Calibri" w:hAnsi="Calibri" w:cs="Calibri"/>
          <w:sz w:val="22"/>
          <w:szCs w:val="22"/>
        </w:rPr>
      </w:pPr>
      <w:r w:rsidRPr="00D21998">
        <w:rPr>
          <w:rStyle w:val="normaltextrun"/>
          <w:rFonts w:ascii="Calibri" w:hAnsi="Calibri" w:cs="Calibri"/>
          <w:sz w:val="22"/>
          <w:szCs w:val="22"/>
        </w:rPr>
        <w:tab/>
      </w:r>
      <w:r w:rsidRPr="00D21998">
        <w:rPr>
          <w:rStyle w:val="tabchar"/>
          <w:rFonts w:ascii="Calibri" w:hAnsi="Calibri" w:cs="Calibri"/>
          <w:sz w:val="22"/>
          <w:szCs w:val="22"/>
        </w:rPr>
        <w:t xml:space="preserve"> </w:t>
      </w:r>
    </w:p>
    <w:p w14:paraId="251496BF" w14:textId="6B908AD7" w:rsidR="005160B4" w:rsidRPr="00D21998" w:rsidRDefault="005160B4" w:rsidP="00B7029B">
      <w:pPr>
        <w:pStyle w:val="paragraph"/>
        <w:numPr>
          <w:ilvl w:val="0"/>
          <w:numId w:val="32"/>
        </w:numPr>
        <w:spacing w:before="0" w:beforeAutospacing="0" w:after="0" w:afterAutospacing="0"/>
        <w:jc w:val="both"/>
        <w:textAlignment w:val="baseline"/>
        <w:rPr>
          <w:rFonts w:ascii="Segoe UI" w:hAnsi="Segoe UI" w:cs="Segoe UI"/>
          <w:sz w:val="18"/>
          <w:szCs w:val="18"/>
        </w:rPr>
      </w:pPr>
      <w:r w:rsidRPr="00D21998">
        <w:rPr>
          <w:rStyle w:val="normaltextrun"/>
          <w:rFonts w:ascii="Calibri" w:hAnsi="Calibri" w:cs="Calibri"/>
          <w:b/>
          <w:bCs/>
          <w:color w:val="000000" w:themeColor="text1"/>
          <w:sz w:val="22"/>
          <w:szCs w:val="22"/>
        </w:rPr>
        <w:t>Component I. Innovation and growth for established SMEs (US$8.35 Million). </w:t>
      </w:r>
      <w:r w:rsidRPr="00D21998">
        <w:rPr>
          <w:rStyle w:val="normaltextrun"/>
          <w:rFonts w:ascii="Calibri" w:hAnsi="Calibri" w:cs="Calibri"/>
          <w:color w:val="000000" w:themeColor="text1"/>
          <w:sz w:val="22"/>
          <w:szCs w:val="22"/>
        </w:rPr>
        <w:t>This component will target established SMEs (at least seven years old)</w:t>
      </w:r>
      <w:r w:rsidRPr="00D21998">
        <w:rPr>
          <w:rStyle w:val="normaltextrun"/>
          <w:rFonts w:ascii="Calibri" w:hAnsi="Calibri" w:cs="Calibri"/>
          <w:color w:val="000000" w:themeColor="text1"/>
          <w:sz w:val="17"/>
          <w:szCs w:val="17"/>
          <w:vertAlign w:val="superscript"/>
        </w:rPr>
        <w:t> </w:t>
      </w:r>
      <w:r w:rsidRPr="00D21998">
        <w:rPr>
          <w:rStyle w:val="normaltextrun"/>
          <w:rFonts w:ascii="Calibri" w:hAnsi="Calibri" w:cs="Calibri"/>
          <w:color w:val="000000" w:themeColor="text1"/>
          <w:sz w:val="22"/>
          <w:szCs w:val="22"/>
        </w:rPr>
        <w:t>and is geared to</w:t>
      </w:r>
      <w:r w:rsidR="00224C22" w:rsidRPr="00D21998">
        <w:rPr>
          <w:rStyle w:val="normaltextrun"/>
          <w:rFonts w:ascii="Calibri" w:hAnsi="Calibri" w:cs="Calibri"/>
          <w:color w:val="000000" w:themeColor="text1"/>
          <w:sz w:val="22"/>
          <w:szCs w:val="22"/>
        </w:rPr>
        <w:t>wards promoting</w:t>
      </w:r>
      <w:r w:rsidRPr="00D21998">
        <w:rPr>
          <w:rStyle w:val="normaltextrun"/>
          <w:rFonts w:ascii="Calibri" w:hAnsi="Calibri" w:cs="Calibri"/>
          <w:color w:val="000000" w:themeColor="text1"/>
          <w:sz w:val="22"/>
          <w:szCs w:val="22"/>
        </w:rPr>
        <w:t xml:space="preserve"> efficiency and growth through the development and adoption of innovation. It will allow participant SMEs to use inputs and factors in more productive ways (improving productive processes, creating new products, and adopting more efficient technologies, among others), therefore enabling faster growth.</w:t>
      </w:r>
    </w:p>
    <w:p w14:paraId="21E7DB81" w14:textId="77777777" w:rsidR="005160B4" w:rsidRPr="00D21998" w:rsidRDefault="005160B4" w:rsidP="00C560A2">
      <w:pPr>
        <w:pStyle w:val="paragraph"/>
        <w:spacing w:before="0" w:beforeAutospacing="0" w:after="0" w:afterAutospacing="0"/>
        <w:ind w:left="360"/>
        <w:jc w:val="both"/>
        <w:rPr>
          <w:rStyle w:val="eop"/>
          <w:color w:val="000000" w:themeColor="text1"/>
        </w:rPr>
      </w:pPr>
    </w:p>
    <w:p w14:paraId="16798EEB" w14:textId="752EBEAB" w:rsidR="005160B4" w:rsidRPr="00D21998" w:rsidRDefault="005160B4" w:rsidP="00B7029B">
      <w:pPr>
        <w:pStyle w:val="paragraph"/>
        <w:numPr>
          <w:ilvl w:val="0"/>
          <w:numId w:val="31"/>
        </w:numPr>
        <w:spacing w:before="0" w:beforeAutospacing="0" w:after="0" w:afterAutospacing="0"/>
        <w:jc w:val="both"/>
        <w:textAlignment w:val="baseline"/>
        <w:rPr>
          <w:rFonts w:ascii="Segoe UI" w:hAnsi="Segoe UI" w:cs="Segoe UI"/>
          <w:sz w:val="18"/>
          <w:szCs w:val="18"/>
        </w:rPr>
      </w:pPr>
      <w:r w:rsidRPr="00D21998">
        <w:rPr>
          <w:rStyle w:val="normaltextrun"/>
          <w:rFonts w:ascii="Calibri" w:hAnsi="Calibri" w:cs="Calibri"/>
          <w:b/>
          <w:bCs/>
          <w:color w:val="000000" w:themeColor="text1"/>
          <w:sz w:val="22"/>
          <w:szCs w:val="22"/>
        </w:rPr>
        <w:t>Component II. Facilitating innovation and growth for scalable startups (US$8.99 Million).</w:t>
      </w:r>
      <w:r w:rsidRPr="00D21998">
        <w:rPr>
          <w:rStyle w:val="normaltextrun"/>
          <w:rFonts w:ascii="Calibri" w:hAnsi="Calibri" w:cs="Calibri"/>
          <w:color w:val="000000" w:themeColor="text1"/>
          <w:sz w:val="22"/>
          <w:szCs w:val="22"/>
        </w:rPr>
        <w:t> This component targets scalable startups, defined as MSMEs that have proven the concept of their business model and commercial viability (and need support for acceleration given their potential for scaling up). Support in this context means both finance to accelerate operations and technical assistance to scale-up services (outreach to markets, mentoring and governance, among others).</w:t>
      </w:r>
    </w:p>
    <w:p w14:paraId="12E47C5A" w14:textId="77777777" w:rsidR="005160B4" w:rsidRPr="00D21998" w:rsidRDefault="005160B4" w:rsidP="00C560A2">
      <w:pPr>
        <w:pStyle w:val="paragraph"/>
        <w:spacing w:before="0" w:beforeAutospacing="0" w:after="0" w:afterAutospacing="0"/>
        <w:ind w:left="360"/>
        <w:jc w:val="both"/>
        <w:rPr>
          <w:rStyle w:val="eop"/>
          <w:color w:val="000000" w:themeColor="text1"/>
        </w:rPr>
      </w:pPr>
    </w:p>
    <w:p w14:paraId="6283320E" w14:textId="791CD86E" w:rsidR="005160B4" w:rsidRPr="00D21998" w:rsidRDefault="005160B4" w:rsidP="00105030">
      <w:pPr>
        <w:pStyle w:val="paragraph"/>
        <w:numPr>
          <w:ilvl w:val="0"/>
          <w:numId w:val="31"/>
        </w:numPr>
        <w:spacing w:before="0" w:beforeAutospacing="0" w:after="0" w:afterAutospacing="0"/>
        <w:jc w:val="both"/>
        <w:textAlignment w:val="baseline"/>
        <w:rPr>
          <w:rStyle w:val="eop"/>
          <w:rFonts w:ascii="Calibri" w:hAnsi="Calibri" w:cs="Calibri"/>
          <w:color w:val="000000" w:themeColor="text1"/>
          <w:sz w:val="22"/>
          <w:szCs w:val="22"/>
        </w:rPr>
      </w:pPr>
      <w:r w:rsidRPr="00D21998">
        <w:rPr>
          <w:rStyle w:val="normaltextrun"/>
          <w:rFonts w:ascii="Calibri" w:hAnsi="Calibri" w:cs="Calibri"/>
          <w:b/>
          <w:bCs/>
          <w:color w:val="000000" w:themeColor="text1"/>
          <w:sz w:val="22"/>
          <w:szCs w:val="22"/>
        </w:rPr>
        <w:t>Component III</w:t>
      </w:r>
      <w:r w:rsidR="00C560A2" w:rsidRPr="00D21998">
        <w:rPr>
          <w:rStyle w:val="normaltextrun"/>
          <w:rFonts w:ascii="Calibri" w:hAnsi="Calibri" w:cs="Calibri"/>
          <w:b/>
          <w:bCs/>
          <w:color w:val="000000" w:themeColor="text1"/>
          <w:sz w:val="22"/>
          <w:szCs w:val="22"/>
        </w:rPr>
        <w:t>.</w:t>
      </w:r>
      <w:r w:rsidRPr="00D21998">
        <w:rPr>
          <w:rStyle w:val="normaltextrun"/>
          <w:rFonts w:ascii="Calibri" w:hAnsi="Calibri" w:cs="Calibri"/>
          <w:b/>
          <w:bCs/>
          <w:color w:val="000000" w:themeColor="text1"/>
          <w:sz w:val="22"/>
          <w:szCs w:val="22"/>
        </w:rPr>
        <w:t> Facilitating innovation and growth for high potential startups (US$3.47 Million)</w:t>
      </w:r>
      <w:r w:rsidRPr="00D21998">
        <w:rPr>
          <w:rStyle w:val="normaltextrun"/>
          <w:rFonts w:ascii="Calibri" w:hAnsi="Calibri" w:cs="Calibri"/>
          <w:color w:val="000000" w:themeColor="text1"/>
          <w:sz w:val="22"/>
          <w:szCs w:val="22"/>
        </w:rPr>
        <w:t xml:space="preserve">. This component will serve those potential beneficiaries (entrepreneurs and MSMEs) at the early </w:t>
      </w:r>
      <w:r w:rsidRPr="00D21998">
        <w:rPr>
          <w:rStyle w:val="normaltextrun"/>
          <w:rFonts w:ascii="Calibri" w:hAnsi="Calibri" w:cs="Calibri"/>
          <w:color w:val="000000" w:themeColor="text1"/>
          <w:sz w:val="22"/>
          <w:szCs w:val="22"/>
        </w:rPr>
        <w:lastRenderedPageBreak/>
        <w:t>stage that have potentially successful value propositions and that could become scalable startups. </w:t>
      </w:r>
      <w:r w:rsidRPr="00D21998">
        <w:rPr>
          <w:rStyle w:val="eop"/>
          <w:rFonts w:ascii="Calibri" w:hAnsi="Calibri" w:cs="Calibri"/>
          <w:color w:val="000000" w:themeColor="text1"/>
          <w:sz w:val="22"/>
          <w:szCs w:val="22"/>
        </w:rPr>
        <w:t> </w:t>
      </w:r>
    </w:p>
    <w:p w14:paraId="7F2C38CE" w14:textId="7BBFD0B0" w:rsidR="00105030" w:rsidRPr="00D21998" w:rsidRDefault="00105030" w:rsidP="00105030">
      <w:pPr>
        <w:pStyle w:val="paragraph"/>
        <w:spacing w:before="0" w:beforeAutospacing="0" w:after="0" w:afterAutospacing="0"/>
        <w:jc w:val="both"/>
        <w:textAlignment w:val="baseline"/>
        <w:rPr>
          <w:rStyle w:val="eop"/>
          <w:rFonts w:ascii="Calibri" w:hAnsi="Calibri" w:cs="Calibri"/>
          <w:color w:val="000000" w:themeColor="text1"/>
          <w:sz w:val="22"/>
          <w:szCs w:val="22"/>
        </w:rPr>
      </w:pPr>
    </w:p>
    <w:p w14:paraId="0E4328A6" w14:textId="72556DF8" w:rsidR="00105030" w:rsidRPr="00D21998" w:rsidRDefault="76364D9E" w:rsidP="76364D9E">
      <w:pPr>
        <w:spacing w:line="240" w:lineRule="auto"/>
        <w:jc w:val="both"/>
        <w:rPr>
          <w:color w:val="222222"/>
        </w:rPr>
      </w:pPr>
      <w:r w:rsidRPr="00D21998">
        <w:rPr>
          <w:color w:val="222222"/>
        </w:rPr>
        <w:t>The BIGEE programme, through the EU grant, intends to improve the landscape, to be more inclusive of female entrepreneurship in Jamaica, by reducing the barriers that prevent the widespread growth of these businesses. The initiatives of the BIGEE programme expected to be used to drive these changes include, but are not limited to:</w:t>
      </w:r>
    </w:p>
    <w:p w14:paraId="417B2AFE" w14:textId="77777777" w:rsidR="00105030" w:rsidRPr="00D21998" w:rsidRDefault="00105030" w:rsidP="00105030">
      <w:pPr>
        <w:pStyle w:val="ListParagraph"/>
        <w:numPr>
          <w:ilvl w:val="0"/>
          <w:numId w:val="23"/>
        </w:numPr>
        <w:spacing w:line="240" w:lineRule="auto"/>
        <w:jc w:val="both"/>
        <w:rPr>
          <w:rFonts w:cstheme="minorHAnsi"/>
          <w:bCs/>
          <w:color w:val="222222"/>
        </w:rPr>
      </w:pPr>
      <w:r w:rsidRPr="00D21998">
        <w:rPr>
          <w:rFonts w:cstheme="minorHAnsi"/>
          <w:bCs/>
          <w:color w:val="222222"/>
        </w:rPr>
        <w:t>Innovation Grant Fund</w:t>
      </w:r>
    </w:p>
    <w:p w14:paraId="2D2D1F14" w14:textId="77777777" w:rsidR="00105030" w:rsidRPr="00D21998" w:rsidRDefault="00105030" w:rsidP="00105030">
      <w:pPr>
        <w:pStyle w:val="ListParagraph"/>
        <w:numPr>
          <w:ilvl w:val="0"/>
          <w:numId w:val="23"/>
        </w:numPr>
        <w:spacing w:line="240" w:lineRule="auto"/>
        <w:jc w:val="both"/>
        <w:rPr>
          <w:rFonts w:cstheme="minorHAnsi"/>
          <w:bCs/>
          <w:color w:val="222222"/>
        </w:rPr>
      </w:pPr>
      <w:r w:rsidRPr="00D21998">
        <w:rPr>
          <w:rFonts w:cstheme="minorHAnsi"/>
          <w:bCs/>
          <w:color w:val="222222"/>
        </w:rPr>
        <w:t xml:space="preserve">Pre-Incubation, Incubation and Acceleration </w:t>
      </w:r>
      <w:proofErr w:type="spellStart"/>
      <w:r w:rsidRPr="00D21998">
        <w:rPr>
          <w:rFonts w:cstheme="minorHAnsi"/>
          <w:bCs/>
          <w:color w:val="222222"/>
        </w:rPr>
        <w:t>Programmes</w:t>
      </w:r>
      <w:proofErr w:type="spellEnd"/>
    </w:p>
    <w:p w14:paraId="370DFCB6" w14:textId="77777777" w:rsidR="00105030" w:rsidRPr="00D21998" w:rsidRDefault="00105030" w:rsidP="00105030">
      <w:pPr>
        <w:pStyle w:val="ListParagraph"/>
        <w:numPr>
          <w:ilvl w:val="0"/>
          <w:numId w:val="23"/>
        </w:numPr>
        <w:spacing w:line="240" w:lineRule="auto"/>
        <w:jc w:val="both"/>
        <w:rPr>
          <w:rFonts w:cstheme="minorHAnsi"/>
          <w:bCs/>
          <w:color w:val="222222"/>
        </w:rPr>
      </w:pPr>
      <w:r w:rsidRPr="00D21998">
        <w:rPr>
          <w:rFonts w:cstheme="minorHAnsi"/>
          <w:bCs/>
          <w:color w:val="222222"/>
        </w:rPr>
        <w:t>IGNITE programme</w:t>
      </w:r>
    </w:p>
    <w:p w14:paraId="2EA49FAB" w14:textId="6208CDAC" w:rsidR="00105030" w:rsidRPr="00D21998" w:rsidRDefault="76364D9E" w:rsidP="76364D9E">
      <w:pPr>
        <w:pStyle w:val="ListParagraph"/>
        <w:numPr>
          <w:ilvl w:val="0"/>
          <w:numId w:val="23"/>
        </w:numPr>
        <w:spacing w:line="240" w:lineRule="auto"/>
        <w:jc w:val="both"/>
        <w:rPr>
          <w:color w:val="222222"/>
        </w:rPr>
      </w:pPr>
      <w:r w:rsidRPr="00D21998">
        <w:rPr>
          <w:color w:val="222222"/>
        </w:rPr>
        <w:t>Mentorship and networking opportuniti</w:t>
      </w:r>
      <w:r w:rsidR="00B645A1" w:rsidRPr="00D21998">
        <w:rPr>
          <w:color w:val="222222"/>
        </w:rPr>
        <w:t>es</w:t>
      </w:r>
    </w:p>
    <w:p w14:paraId="2D07B998" w14:textId="77777777" w:rsidR="00C560A2" w:rsidRPr="00D21998" w:rsidRDefault="00C560A2" w:rsidP="00C560A2">
      <w:pPr>
        <w:pStyle w:val="paragraph"/>
        <w:spacing w:before="0" w:beforeAutospacing="0" w:after="0" w:afterAutospacing="0"/>
        <w:ind w:left="360"/>
        <w:jc w:val="both"/>
        <w:textAlignment w:val="baseline"/>
        <w:rPr>
          <w:rFonts w:ascii="Segoe UI" w:hAnsi="Segoe UI" w:cs="Segoe UI"/>
          <w:sz w:val="18"/>
          <w:szCs w:val="18"/>
        </w:rPr>
      </w:pPr>
    </w:p>
    <w:p w14:paraId="56E8556C" w14:textId="42F638CE" w:rsidR="00C560A2" w:rsidRPr="00D21998" w:rsidRDefault="005160B4" w:rsidP="005823ED">
      <w:pPr>
        <w:pStyle w:val="ListParagraph"/>
        <w:numPr>
          <w:ilvl w:val="0"/>
          <w:numId w:val="33"/>
        </w:numPr>
        <w:spacing w:line="240" w:lineRule="auto"/>
        <w:jc w:val="both"/>
        <w:rPr>
          <w:b/>
          <w:bCs/>
          <w:color w:val="222222"/>
          <w:shd w:val="clear" w:color="auto" w:fill="FFFFFF"/>
        </w:rPr>
      </w:pPr>
      <w:r w:rsidRPr="00D21998">
        <w:rPr>
          <w:b/>
          <w:bCs/>
          <w:color w:val="222222"/>
          <w:shd w:val="clear" w:color="auto" w:fill="FFFFFF"/>
        </w:rPr>
        <w:t>OBJECTIVE OF THE ASSIGNMENT</w:t>
      </w:r>
    </w:p>
    <w:p w14:paraId="70F7A656" w14:textId="5BE34D6E" w:rsidR="00CA7826" w:rsidRPr="00D21998" w:rsidRDefault="00CA7826" w:rsidP="00C560A2">
      <w:pPr>
        <w:spacing w:line="240" w:lineRule="auto"/>
        <w:jc w:val="both"/>
        <w:rPr>
          <w:rFonts w:cstheme="minorHAnsi"/>
          <w:bCs/>
          <w:color w:val="222222"/>
        </w:rPr>
      </w:pPr>
      <w:r w:rsidRPr="00D21998">
        <w:rPr>
          <w:rFonts w:cstheme="minorHAnsi"/>
          <w:bCs/>
          <w:color w:val="222222"/>
        </w:rPr>
        <w:t xml:space="preserve">The objective of the assignment is to assess the landscape </w:t>
      </w:r>
      <w:r w:rsidR="00DD5034" w:rsidRPr="00D21998">
        <w:rPr>
          <w:rFonts w:cstheme="minorHAnsi"/>
          <w:bCs/>
          <w:color w:val="222222"/>
        </w:rPr>
        <w:t>of</w:t>
      </w:r>
      <w:r w:rsidRPr="00D21998">
        <w:rPr>
          <w:rFonts w:cstheme="minorHAnsi"/>
          <w:bCs/>
          <w:color w:val="222222"/>
        </w:rPr>
        <w:t xml:space="preserve"> female entrepreneurship and female-led or owned businesses in Jamaica and identify solutions to increase their participation in </w:t>
      </w:r>
      <w:r w:rsidR="003B69E8" w:rsidRPr="00D21998">
        <w:rPr>
          <w:rFonts w:cstheme="minorHAnsi"/>
          <w:bCs/>
          <w:color w:val="222222"/>
        </w:rPr>
        <w:t>the BIGEE programme.</w:t>
      </w:r>
    </w:p>
    <w:p w14:paraId="651AC220" w14:textId="77777777" w:rsidR="00812FAC" w:rsidRPr="00D21998" w:rsidRDefault="00812FAC" w:rsidP="00C560A2">
      <w:pPr>
        <w:spacing w:line="240" w:lineRule="auto"/>
        <w:jc w:val="both"/>
        <w:rPr>
          <w:b/>
          <w:bCs/>
          <w:color w:val="222222"/>
          <w:shd w:val="clear" w:color="auto" w:fill="FFFFFF"/>
        </w:rPr>
      </w:pPr>
    </w:p>
    <w:p w14:paraId="268D1B9C" w14:textId="3F370278" w:rsidR="00C560A2" w:rsidRPr="00D21998" w:rsidRDefault="00812FAC" w:rsidP="00AD5A08">
      <w:pPr>
        <w:pStyle w:val="ListParagraph"/>
        <w:numPr>
          <w:ilvl w:val="0"/>
          <w:numId w:val="33"/>
        </w:numPr>
        <w:spacing w:line="240" w:lineRule="auto"/>
        <w:jc w:val="both"/>
        <w:rPr>
          <w:b/>
          <w:bCs/>
          <w:color w:val="222222"/>
          <w:shd w:val="clear" w:color="auto" w:fill="FFFFFF"/>
        </w:rPr>
      </w:pPr>
      <w:r w:rsidRPr="00D21998">
        <w:rPr>
          <w:b/>
          <w:bCs/>
          <w:color w:val="222222"/>
          <w:shd w:val="clear" w:color="auto" w:fill="FFFFFF"/>
        </w:rPr>
        <w:t>SCOPE OF WORK</w:t>
      </w:r>
    </w:p>
    <w:p w14:paraId="074726C6" w14:textId="08B529AA" w:rsidR="00812FAC" w:rsidRPr="00D21998" w:rsidRDefault="00812FAC" w:rsidP="00C560A2">
      <w:pPr>
        <w:spacing w:line="240" w:lineRule="auto"/>
        <w:jc w:val="both"/>
        <w:rPr>
          <w:color w:val="222222"/>
          <w:shd w:val="clear" w:color="auto" w:fill="FFFFFF"/>
        </w:rPr>
      </w:pPr>
      <w:r w:rsidRPr="00D21998">
        <w:rPr>
          <w:color w:val="222222"/>
          <w:shd w:val="clear" w:color="auto" w:fill="FFFFFF"/>
        </w:rPr>
        <w:t xml:space="preserve">The </w:t>
      </w:r>
      <w:r w:rsidR="00FD4E4A" w:rsidRPr="00D21998">
        <w:rPr>
          <w:color w:val="222222"/>
          <w:shd w:val="clear" w:color="auto" w:fill="FFFFFF"/>
        </w:rPr>
        <w:t>selected</w:t>
      </w:r>
      <w:r w:rsidR="00FD4E4A" w:rsidRPr="00D21998" w:rsidDel="00FD4E4A">
        <w:rPr>
          <w:color w:val="222222"/>
          <w:shd w:val="clear" w:color="auto" w:fill="FFFFFF"/>
        </w:rPr>
        <w:t xml:space="preserve"> </w:t>
      </w:r>
      <w:r w:rsidRPr="00D21998">
        <w:rPr>
          <w:color w:val="222222"/>
          <w:shd w:val="clear" w:color="auto" w:fill="FFFFFF"/>
        </w:rPr>
        <w:t>consultant will be expected to carry out</w:t>
      </w:r>
      <w:r w:rsidR="00FD4E4A" w:rsidRPr="00D21998">
        <w:rPr>
          <w:color w:val="222222"/>
          <w:shd w:val="clear" w:color="auto" w:fill="FFFFFF"/>
        </w:rPr>
        <w:t>, at a minimum,</w:t>
      </w:r>
      <w:r w:rsidRPr="00D21998">
        <w:rPr>
          <w:color w:val="222222"/>
          <w:shd w:val="clear" w:color="auto" w:fill="FFFFFF"/>
        </w:rPr>
        <w:t xml:space="preserve"> the following tasks in consultation with the D</w:t>
      </w:r>
      <w:r w:rsidR="00937E51" w:rsidRPr="00D21998">
        <w:rPr>
          <w:color w:val="222222"/>
          <w:shd w:val="clear" w:color="auto" w:fill="FFFFFF"/>
        </w:rPr>
        <w:t xml:space="preserve">evelopment </w:t>
      </w:r>
      <w:r w:rsidRPr="00D21998">
        <w:rPr>
          <w:color w:val="222222"/>
          <w:shd w:val="clear" w:color="auto" w:fill="FFFFFF"/>
        </w:rPr>
        <w:t>B</w:t>
      </w:r>
      <w:r w:rsidR="00937E51" w:rsidRPr="00D21998">
        <w:rPr>
          <w:color w:val="222222"/>
          <w:shd w:val="clear" w:color="auto" w:fill="FFFFFF"/>
        </w:rPr>
        <w:t xml:space="preserve">ank of </w:t>
      </w:r>
      <w:r w:rsidRPr="00D21998">
        <w:rPr>
          <w:color w:val="222222"/>
          <w:shd w:val="clear" w:color="auto" w:fill="FFFFFF"/>
        </w:rPr>
        <w:t>J</w:t>
      </w:r>
      <w:r w:rsidR="00937E51" w:rsidRPr="00D21998">
        <w:rPr>
          <w:color w:val="222222"/>
          <w:shd w:val="clear" w:color="auto" w:fill="FFFFFF"/>
        </w:rPr>
        <w:t>amaica</w:t>
      </w:r>
      <w:r w:rsidRPr="00D21998">
        <w:rPr>
          <w:color w:val="222222"/>
          <w:shd w:val="clear" w:color="auto" w:fill="FFFFFF"/>
        </w:rPr>
        <w:t>’s Project Management Office (PMO)</w:t>
      </w:r>
      <w:r w:rsidR="00FD4E4A" w:rsidRPr="00D21998">
        <w:rPr>
          <w:color w:val="222222"/>
          <w:shd w:val="clear" w:color="auto" w:fill="FFFFFF"/>
        </w:rPr>
        <w:t>:</w:t>
      </w:r>
    </w:p>
    <w:p w14:paraId="61CC83EC" w14:textId="236E5BA3" w:rsidR="004B569C" w:rsidRPr="00D21998" w:rsidRDefault="00FD4E4A" w:rsidP="76364D9E">
      <w:pPr>
        <w:pStyle w:val="ListParagraph"/>
        <w:numPr>
          <w:ilvl w:val="0"/>
          <w:numId w:val="24"/>
        </w:numPr>
        <w:spacing w:after="0" w:line="240" w:lineRule="auto"/>
        <w:jc w:val="both"/>
        <w:rPr>
          <w:color w:val="222222"/>
        </w:rPr>
      </w:pPr>
      <w:r w:rsidRPr="00D21998">
        <w:rPr>
          <w:color w:val="222222"/>
          <w:shd w:val="clear" w:color="auto" w:fill="FFFFFF"/>
        </w:rPr>
        <w:t>Identify and a</w:t>
      </w:r>
      <w:r w:rsidR="00CA7826" w:rsidRPr="00D21998">
        <w:rPr>
          <w:color w:val="222222"/>
        </w:rPr>
        <w:t xml:space="preserve">ssess </w:t>
      </w:r>
      <w:r w:rsidR="00400A09" w:rsidRPr="00D21998">
        <w:rPr>
          <w:color w:val="222222"/>
        </w:rPr>
        <w:t>the</w:t>
      </w:r>
      <w:r w:rsidR="00A84396" w:rsidRPr="00D21998">
        <w:rPr>
          <w:color w:val="222222"/>
        </w:rPr>
        <w:t xml:space="preserve"> </w:t>
      </w:r>
      <w:r w:rsidRPr="00D21998">
        <w:rPr>
          <w:color w:val="222222"/>
        </w:rPr>
        <w:t xml:space="preserve">barriers and challenges </w:t>
      </w:r>
      <w:r w:rsidR="007B1498" w:rsidRPr="00D21998">
        <w:rPr>
          <w:color w:val="222222"/>
        </w:rPr>
        <w:t>limiting</w:t>
      </w:r>
      <w:r w:rsidR="00F148DE" w:rsidRPr="00D21998">
        <w:rPr>
          <w:color w:val="222222"/>
        </w:rPr>
        <w:t xml:space="preserve"> </w:t>
      </w:r>
      <w:r w:rsidR="00AF1C66" w:rsidRPr="00D21998">
        <w:rPr>
          <w:color w:val="222222"/>
        </w:rPr>
        <w:t xml:space="preserve">businesswomen and female </w:t>
      </w:r>
      <w:r w:rsidR="00DD5034" w:rsidRPr="00D21998">
        <w:rPr>
          <w:color w:val="222222"/>
        </w:rPr>
        <w:t>entrepreneurs’ participation</w:t>
      </w:r>
      <w:r w:rsidR="008F3B0A" w:rsidRPr="00D21998">
        <w:rPr>
          <w:color w:val="222222"/>
        </w:rPr>
        <w:t>/access to public support programs</w:t>
      </w:r>
      <w:r w:rsidR="007619B0" w:rsidRPr="00D21998">
        <w:rPr>
          <w:color w:val="222222"/>
        </w:rPr>
        <w:t xml:space="preserve"> in Jamaica</w:t>
      </w:r>
      <w:r w:rsidR="00106F4E" w:rsidRPr="00D21998">
        <w:rPr>
          <w:color w:val="222222"/>
        </w:rPr>
        <w:t xml:space="preserve"> over the past 6 years</w:t>
      </w:r>
      <w:r w:rsidR="008F3B0A" w:rsidRPr="00D21998">
        <w:rPr>
          <w:color w:val="222222"/>
        </w:rPr>
        <w:t>.</w:t>
      </w:r>
    </w:p>
    <w:p w14:paraId="35DA81D4" w14:textId="77777777" w:rsidR="00A84396" w:rsidRPr="00D21998" w:rsidRDefault="00A84396" w:rsidP="00A84396">
      <w:pPr>
        <w:pStyle w:val="ListParagraph"/>
        <w:spacing w:after="0" w:line="240" w:lineRule="auto"/>
        <w:jc w:val="both"/>
        <w:rPr>
          <w:color w:val="222222"/>
        </w:rPr>
      </w:pPr>
    </w:p>
    <w:p w14:paraId="3DC4C8E8" w14:textId="035A2F70" w:rsidR="00DD5034" w:rsidRPr="00D21998" w:rsidRDefault="76364D9E" w:rsidP="76364D9E">
      <w:pPr>
        <w:pStyle w:val="ListParagraph"/>
        <w:numPr>
          <w:ilvl w:val="0"/>
          <w:numId w:val="24"/>
        </w:numPr>
        <w:spacing w:after="0" w:line="240" w:lineRule="auto"/>
        <w:jc w:val="both"/>
        <w:rPr>
          <w:color w:val="222222"/>
        </w:rPr>
      </w:pPr>
      <w:r w:rsidRPr="00D21998">
        <w:rPr>
          <w:color w:val="222222"/>
        </w:rPr>
        <w:t xml:space="preserve">Identify and assess the main reasons for the low take up of DBJ products by women, such as: </w:t>
      </w:r>
    </w:p>
    <w:p w14:paraId="3ABEC280" w14:textId="037B030A" w:rsidR="00DD5034" w:rsidRPr="00D21998" w:rsidRDefault="76364D9E" w:rsidP="76364D9E">
      <w:pPr>
        <w:pStyle w:val="ListParagraph"/>
        <w:numPr>
          <w:ilvl w:val="0"/>
          <w:numId w:val="35"/>
        </w:numPr>
        <w:spacing w:after="0" w:line="240" w:lineRule="auto"/>
        <w:jc w:val="both"/>
      </w:pPr>
      <w:r w:rsidRPr="00D21998">
        <w:t xml:space="preserve">BIGEE Products: </w:t>
      </w:r>
    </w:p>
    <w:p w14:paraId="6314EF4A" w14:textId="45E7B757" w:rsidR="00DD5034" w:rsidRPr="00D21998" w:rsidRDefault="76364D9E" w:rsidP="00A84396">
      <w:pPr>
        <w:pStyle w:val="ListParagraph"/>
        <w:numPr>
          <w:ilvl w:val="1"/>
          <w:numId w:val="35"/>
        </w:numPr>
        <w:spacing w:after="0" w:line="240" w:lineRule="auto"/>
        <w:jc w:val="both"/>
      </w:pPr>
      <w:r w:rsidRPr="00D21998">
        <w:t xml:space="preserve">Innovation Grant from New Ideas to Entrepreneurship (IGNITE) </w:t>
      </w:r>
    </w:p>
    <w:p w14:paraId="2CEF6D58" w14:textId="7C6FE358" w:rsidR="00DD5034" w:rsidRPr="00D21998" w:rsidRDefault="76364D9E" w:rsidP="00A84396">
      <w:pPr>
        <w:pStyle w:val="ListParagraph"/>
        <w:numPr>
          <w:ilvl w:val="1"/>
          <w:numId w:val="35"/>
        </w:numPr>
        <w:spacing w:after="0" w:line="240" w:lineRule="auto"/>
        <w:jc w:val="both"/>
      </w:pPr>
      <w:r w:rsidRPr="00D21998">
        <w:t xml:space="preserve"> Innovation Grant Fund (IGF). </w:t>
      </w:r>
    </w:p>
    <w:p w14:paraId="6B71A4B2" w14:textId="77777777" w:rsidR="00A84396" w:rsidRPr="00D21998" w:rsidRDefault="00A84396" w:rsidP="00A84396">
      <w:pPr>
        <w:pStyle w:val="ListParagraph"/>
        <w:spacing w:after="0" w:line="240" w:lineRule="auto"/>
        <w:ind w:left="1800"/>
        <w:jc w:val="both"/>
      </w:pPr>
    </w:p>
    <w:p w14:paraId="0E70A154" w14:textId="39722312" w:rsidR="76364D9E" w:rsidRPr="00D21998" w:rsidRDefault="76364D9E" w:rsidP="76364D9E">
      <w:pPr>
        <w:pStyle w:val="ListParagraph"/>
        <w:numPr>
          <w:ilvl w:val="0"/>
          <w:numId w:val="35"/>
        </w:numPr>
        <w:spacing w:after="0" w:line="240" w:lineRule="auto"/>
        <w:jc w:val="both"/>
      </w:pPr>
      <w:r w:rsidRPr="00D21998">
        <w:t>Other DBJ Financial Products:</w:t>
      </w:r>
    </w:p>
    <w:p w14:paraId="1589BADC" w14:textId="7244AC97" w:rsidR="76364D9E" w:rsidRPr="00D21998" w:rsidRDefault="76364D9E" w:rsidP="00A84396">
      <w:pPr>
        <w:pStyle w:val="ListParagraph"/>
        <w:numPr>
          <w:ilvl w:val="1"/>
          <w:numId w:val="35"/>
        </w:numPr>
        <w:spacing w:after="0" w:line="240" w:lineRule="auto"/>
        <w:jc w:val="both"/>
      </w:pPr>
      <w:r w:rsidRPr="00D21998">
        <w:t>DBJ Loans</w:t>
      </w:r>
    </w:p>
    <w:p w14:paraId="481C633A" w14:textId="0EEA517B" w:rsidR="76364D9E" w:rsidRPr="00D21998" w:rsidRDefault="76364D9E" w:rsidP="00A84396">
      <w:pPr>
        <w:pStyle w:val="ListParagraph"/>
        <w:numPr>
          <w:ilvl w:val="1"/>
          <w:numId w:val="35"/>
        </w:numPr>
      </w:pPr>
      <w:r w:rsidRPr="00D21998">
        <w:t>DBJ’s Credit Enhancement Fund</w:t>
      </w:r>
    </w:p>
    <w:p w14:paraId="2D8E2490" w14:textId="77777777" w:rsidR="00A84396" w:rsidRPr="00D21998" w:rsidRDefault="00A84396" w:rsidP="00A84396">
      <w:pPr>
        <w:spacing w:after="0" w:line="240" w:lineRule="auto"/>
        <w:jc w:val="both"/>
      </w:pPr>
    </w:p>
    <w:p w14:paraId="365F3C71" w14:textId="5BBE45F1" w:rsidR="00106F4E" w:rsidRPr="00D21998" w:rsidRDefault="76364D9E" w:rsidP="00A84396">
      <w:pPr>
        <w:spacing w:after="0" w:line="240" w:lineRule="auto"/>
        <w:jc w:val="both"/>
      </w:pPr>
      <w:r w:rsidRPr="00D21998">
        <w:t>This will include the design of a methodology and instruments for collecting and processing information.</w:t>
      </w:r>
    </w:p>
    <w:p w14:paraId="16085120" w14:textId="1AB366F4" w:rsidR="76364D9E" w:rsidRPr="00D21998" w:rsidRDefault="76364D9E" w:rsidP="76364D9E">
      <w:pPr>
        <w:spacing w:after="0" w:line="240" w:lineRule="auto"/>
        <w:ind w:left="720"/>
        <w:jc w:val="both"/>
      </w:pPr>
    </w:p>
    <w:p w14:paraId="6F81564F" w14:textId="77777777" w:rsidR="00A84396" w:rsidRPr="00D21998" w:rsidRDefault="00A84396" w:rsidP="76364D9E">
      <w:pPr>
        <w:spacing w:after="0" w:line="240" w:lineRule="auto"/>
        <w:ind w:left="720"/>
        <w:jc w:val="both"/>
      </w:pPr>
    </w:p>
    <w:p w14:paraId="09A13EEF" w14:textId="7A07411F" w:rsidR="00AF477A" w:rsidRPr="00D21998" w:rsidRDefault="00FA4351" w:rsidP="000A32B1">
      <w:pPr>
        <w:pStyle w:val="ListParagraph"/>
        <w:numPr>
          <w:ilvl w:val="0"/>
          <w:numId w:val="37"/>
        </w:numPr>
        <w:spacing w:after="0" w:line="276" w:lineRule="auto"/>
        <w:jc w:val="both"/>
        <w:rPr>
          <w:rFonts w:cstheme="minorHAnsi"/>
          <w:bCs/>
          <w:color w:val="000000" w:themeColor="text1"/>
        </w:rPr>
      </w:pPr>
      <w:r w:rsidRPr="00D21998">
        <w:t xml:space="preserve">Conduct a diagnostic </w:t>
      </w:r>
      <w:r w:rsidRPr="00D21998">
        <w:rPr>
          <w:color w:val="000000" w:themeColor="text1"/>
        </w:rPr>
        <w:t>assessment of the BIGEE</w:t>
      </w:r>
      <w:r w:rsidR="00DD5034" w:rsidRPr="00D21998">
        <w:rPr>
          <w:color w:val="000000" w:themeColor="text1"/>
        </w:rPr>
        <w:t xml:space="preserve"> programme</w:t>
      </w:r>
      <w:r w:rsidRPr="00D21998">
        <w:rPr>
          <w:color w:val="000000" w:themeColor="text1"/>
        </w:rPr>
        <w:t xml:space="preserve"> </w:t>
      </w:r>
      <w:r w:rsidR="007A3E31" w:rsidRPr="00D21998">
        <w:rPr>
          <w:color w:val="000000" w:themeColor="text1"/>
        </w:rPr>
        <w:t xml:space="preserve">and other related </w:t>
      </w:r>
      <w:r w:rsidRPr="00D21998">
        <w:rPr>
          <w:color w:val="000000" w:themeColor="text1"/>
        </w:rPr>
        <w:t>pro</w:t>
      </w:r>
      <w:r w:rsidR="00DD5034" w:rsidRPr="00D21998">
        <w:rPr>
          <w:color w:val="000000" w:themeColor="text1"/>
        </w:rPr>
        <w:t>ducts</w:t>
      </w:r>
      <w:r w:rsidRPr="00D21998">
        <w:rPr>
          <w:color w:val="000000" w:themeColor="text1"/>
        </w:rPr>
        <w:t xml:space="preserve"> </w:t>
      </w:r>
      <w:r w:rsidR="005007D4" w:rsidRPr="00D21998">
        <w:rPr>
          <w:color w:val="000000" w:themeColor="text1"/>
        </w:rPr>
        <w:t>to</w:t>
      </w:r>
    </w:p>
    <w:p w14:paraId="0EC69F98" w14:textId="30CCDB18" w:rsidR="00DD5034" w:rsidRPr="00D21998" w:rsidRDefault="76364D9E" w:rsidP="000A32B1">
      <w:pPr>
        <w:pStyle w:val="ListParagraph"/>
        <w:numPr>
          <w:ilvl w:val="1"/>
          <w:numId w:val="37"/>
        </w:numPr>
        <w:spacing w:after="0" w:line="276" w:lineRule="auto"/>
        <w:jc w:val="both"/>
        <w:rPr>
          <w:color w:val="000000" w:themeColor="text1"/>
        </w:rPr>
      </w:pPr>
      <w:r w:rsidRPr="00D21998">
        <w:rPr>
          <w:color w:val="000000" w:themeColor="text1"/>
        </w:rPr>
        <w:t xml:space="preserve">identify potential gender-biases on the evaluation, selection, and allocation of funds for entrepreneurs and MSMEs. </w:t>
      </w:r>
    </w:p>
    <w:p w14:paraId="2A99371C" w14:textId="6376F1AE" w:rsidR="00F65EA5" w:rsidRPr="00D21998" w:rsidRDefault="76364D9E" w:rsidP="000A32B1">
      <w:pPr>
        <w:pStyle w:val="ListParagraph"/>
        <w:numPr>
          <w:ilvl w:val="1"/>
          <w:numId w:val="37"/>
        </w:numPr>
        <w:spacing w:after="0" w:line="276" w:lineRule="auto"/>
        <w:jc w:val="both"/>
        <w:rPr>
          <w:color w:val="000000" w:themeColor="text1"/>
        </w:rPr>
      </w:pPr>
      <w:r w:rsidRPr="00D21998">
        <w:rPr>
          <w:color w:val="000000" w:themeColor="text1"/>
        </w:rPr>
        <w:t xml:space="preserve">Analyze whether women </w:t>
      </w:r>
      <w:r w:rsidR="006D0FAE" w:rsidRPr="00D21998">
        <w:rPr>
          <w:color w:val="000000" w:themeColor="text1"/>
        </w:rPr>
        <w:t>face more</w:t>
      </w:r>
      <w:r w:rsidRPr="00D21998">
        <w:rPr>
          <w:color w:val="000000" w:themeColor="text1"/>
        </w:rPr>
        <w:t xml:space="preserve"> biases and obstacles than men in the evaluation processes. </w:t>
      </w:r>
    </w:p>
    <w:p w14:paraId="7DE52EEF" w14:textId="5EE12FE9" w:rsidR="00FE3518" w:rsidRPr="00D21998" w:rsidRDefault="76364D9E" w:rsidP="000A32B1">
      <w:pPr>
        <w:pStyle w:val="ListParagraph"/>
        <w:numPr>
          <w:ilvl w:val="0"/>
          <w:numId w:val="24"/>
        </w:numPr>
        <w:spacing w:before="240" w:after="0" w:line="276" w:lineRule="auto"/>
        <w:jc w:val="both"/>
        <w:rPr>
          <w:color w:val="000000" w:themeColor="text1"/>
        </w:rPr>
      </w:pPr>
      <w:r w:rsidRPr="00D21998">
        <w:rPr>
          <w:color w:val="000000" w:themeColor="text1"/>
        </w:rPr>
        <w:t xml:space="preserve">Identify limitations or barriers preventing female-led or owned businesses from scaling their </w:t>
      </w:r>
      <w:r w:rsidR="006D0FAE" w:rsidRPr="00D21998">
        <w:rPr>
          <w:color w:val="000000" w:themeColor="text1"/>
        </w:rPr>
        <w:t xml:space="preserve">business </w:t>
      </w:r>
      <w:proofErr w:type="gramStart"/>
      <w:r w:rsidR="006D0FAE" w:rsidRPr="00D21998">
        <w:rPr>
          <w:color w:val="000000" w:themeColor="text1"/>
        </w:rPr>
        <w:t>throughout</w:t>
      </w:r>
      <w:r w:rsidRPr="00D21998">
        <w:rPr>
          <w:color w:val="000000" w:themeColor="text1"/>
        </w:rPr>
        <w:t xml:space="preserve">  the</w:t>
      </w:r>
      <w:proofErr w:type="gramEnd"/>
      <w:r w:rsidRPr="00D21998">
        <w:rPr>
          <w:color w:val="000000" w:themeColor="text1"/>
        </w:rPr>
        <w:t xml:space="preserve"> business lifecycle. It should include (but not limited to): </w:t>
      </w:r>
    </w:p>
    <w:p w14:paraId="539AAD30" w14:textId="296DC971" w:rsidR="00860E15" w:rsidRPr="00D21998" w:rsidRDefault="76364D9E" w:rsidP="000A32B1">
      <w:pPr>
        <w:pStyle w:val="ListParagraph"/>
        <w:numPr>
          <w:ilvl w:val="1"/>
          <w:numId w:val="31"/>
        </w:numPr>
        <w:spacing w:after="0" w:line="276" w:lineRule="auto"/>
        <w:jc w:val="both"/>
        <w:rPr>
          <w:color w:val="000000" w:themeColor="text1"/>
        </w:rPr>
      </w:pPr>
      <w:r w:rsidRPr="00D21998">
        <w:rPr>
          <w:color w:val="000000" w:themeColor="text1"/>
        </w:rPr>
        <w:lastRenderedPageBreak/>
        <w:t>The characterization of the types of business activities being pursued and the differences between “women-led” vs. “men-led” businesses.</w:t>
      </w:r>
    </w:p>
    <w:p w14:paraId="4EB35BE2" w14:textId="3ED9F878" w:rsidR="00AA4303" w:rsidRPr="00D21998" w:rsidRDefault="76364D9E" w:rsidP="000A32B1">
      <w:pPr>
        <w:pStyle w:val="ListParagraph"/>
        <w:numPr>
          <w:ilvl w:val="1"/>
          <w:numId w:val="31"/>
        </w:numPr>
        <w:spacing w:after="0" w:line="276" w:lineRule="auto"/>
        <w:jc w:val="both"/>
        <w:rPr>
          <w:color w:val="000000" w:themeColor="text1"/>
        </w:rPr>
      </w:pPr>
      <w:r w:rsidRPr="00D21998">
        <w:rPr>
          <w:color w:val="000000" w:themeColor="text1"/>
        </w:rPr>
        <w:t xml:space="preserve">Primary women's needs for scaling their business to address the ever-fast changing business environment in which they operate, </w:t>
      </w:r>
      <w:r w:rsidRPr="00D21998">
        <w:rPr>
          <w:rFonts w:ascii="Calibri" w:eastAsia="Calibri" w:hAnsi="Calibri" w:cs="Calibri"/>
          <w:color w:val="000000" w:themeColor="text1"/>
        </w:rPr>
        <w:t>such as the opening of or access to global markets, availability of new technologies, etc.</w:t>
      </w:r>
    </w:p>
    <w:p w14:paraId="11D721E8" w14:textId="4B1DDF0C" w:rsidR="00CA7826" w:rsidRPr="00D21998" w:rsidRDefault="76364D9E" w:rsidP="000A32B1">
      <w:pPr>
        <w:pStyle w:val="ListParagraph"/>
        <w:numPr>
          <w:ilvl w:val="1"/>
          <w:numId w:val="31"/>
        </w:numPr>
        <w:spacing w:after="0" w:line="276" w:lineRule="auto"/>
        <w:jc w:val="both"/>
        <w:rPr>
          <w:color w:val="000000" w:themeColor="text1"/>
        </w:rPr>
      </w:pPr>
      <w:r w:rsidRPr="00D21998">
        <w:rPr>
          <w:color w:val="000000" w:themeColor="text1"/>
        </w:rPr>
        <w:t>Challenges with accessing financing, human capital, or other opportunities to grow</w:t>
      </w:r>
      <w:r w:rsidRPr="00D21998">
        <w:rPr>
          <w:rFonts w:ascii="Calibri" w:eastAsia="Calibri" w:hAnsi="Calibri" w:cs="Calibri"/>
          <w:color w:val="000000" w:themeColor="text1"/>
        </w:rPr>
        <w:t>, such as their sales/revenues, employee count and entry into new markets.</w:t>
      </w:r>
    </w:p>
    <w:p w14:paraId="75718797" w14:textId="65FBA162" w:rsidR="00BC378D" w:rsidRPr="00D21998" w:rsidRDefault="00BC378D" w:rsidP="000A32B1">
      <w:pPr>
        <w:pStyle w:val="ListParagraph"/>
        <w:numPr>
          <w:ilvl w:val="0"/>
          <w:numId w:val="24"/>
        </w:numPr>
        <w:spacing w:after="0" w:line="276" w:lineRule="auto"/>
        <w:jc w:val="both"/>
        <w:rPr>
          <w:rFonts w:cstheme="minorHAnsi"/>
          <w:bCs/>
          <w:color w:val="000000" w:themeColor="text1"/>
        </w:rPr>
      </w:pPr>
      <w:r w:rsidRPr="00D21998">
        <w:rPr>
          <w:rFonts w:cstheme="minorHAnsi"/>
          <w:bCs/>
          <w:color w:val="000000" w:themeColor="text1"/>
        </w:rPr>
        <w:t>Conduct a</w:t>
      </w:r>
      <w:r w:rsidR="00B96363" w:rsidRPr="00D21998">
        <w:rPr>
          <w:rFonts w:cstheme="minorHAnsi"/>
          <w:bCs/>
          <w:color w:val="000000" w:themeColor="text1"/>
        </w:rPr>
        <w:t>n analytical</w:t>
      </w:r>
      <w:r w:rsidRPr="00D21998">
        <w:rPr>
          <w:rFonts w:cstheme="minorHAnsi"/>
          <w:bCs/>
          <w:color w:val="000000" w:themeColor="text1"/>
        </w:rPr>
        <w:t xml:space="preserve"> review of</w:t>
      </w:r>
      <w:r w:rsidR="00715616" w:rsidRPr="00D21998">
        <w:rPr>
          <w:rFonts w:cstheme="minorHAnsi"/>
          <w:bCs/>
          <w:color w:val="000000" w:themeColor="text1"/>
        </w:rPr>
        <w:t xml:space="preserve"> international good practices </w:t>
      </w:r>
      <w:r w:rsidR="00536D93" w:rsidRPr="00D21998">
        <w:rPr>
          <w:rFonts w:cstheme="minorHAnsi"/>
          <w:bCs/>
          <w:color w:val="000000" w:themeColor="text1"/>
        </w:rPr>
        <w:t xml:space="preserve">relevant for Jamaica </w:t>
      </w:r>
      <w:r w:rsidR="00715616" w:rsidRPr="00D21998">
        <w:rPr>
          <w:rFonts w:cstheme="minorHAnsi"/>
          <w:bCs/>
          <w:color w:val="000000" w:themeColor="text1"/>
        </w:rPr>
        <w:t>to improve the participation of women in entrepreneurship</w:t>
      </w:r>
      <w:r w:rsidR="00536D93" w:rsidRPr="00D21998">
        <w:rPr>
          <w:rFonts w:cstheme="minorHAnsi"/>
          <w:bCs/>
          <w:color w:val="000000" w:themeColor="text1"/>
        </w:rPr>
        <w:t xml:space="preserve"> (in both urban and rural areas)</w:t>
      </w:r>
      <w:r w:rsidR="00715616" w:rsidRPr="00D21998">
        <w:rPr>
          <w:rFonts w:cstheme="minorHAnsi"/>
          <w:bCs/>
          <w:color w:val="000000" w:themeColor="text1"/>
        </w:rPr>
        <w:t>.</w:t>
      </w:r>
    </w:p>
    <w:p w14:paraId="1D1B704C" w14:textId="457684D1" w:rsidR="00E2254B" w:rsidRPr="00D21998" w:rsidRDefault="00E2254B" w:rsidP="000A32B1">
      <w:pPr>
        <w:pStyle w:val="ListParagraph"/>
        <w:numPr>
          <w:ilvl w:val="0"/>
          <w:numId w:val="24"/>
        </w:numPr>
        <w:spacing w:after="0" w:line="276" w:lineRule="auto"/>
        <w:jc w:val="both"/>
        <w:rPr>
          <w:rFonts w:cstheme="minorHAnsi"/>
          <w:bCs/>
          <w:color w:val="000000" w:themeColor="text1"/>
        </w:rPr>
      </w:pPr>
      <w:r w:rsidRPr="00D21998">
        <w:rPr>
          <w:rFonts w:cstheme="minorHAnsi"/>
          <w:bCs/>
          <w:color w:val="000000" w:themeColor="text1"/>
        </w:rPr>
        <w:t>Identify strategies for ensuring that equal exposure and possible participation is had for female entrepreneurs in the initiatives financed by the BIGEE programme such as:</w:t>
      </w:r>
    </w:p>
    <w:p w14:paraId="6ED219C5" w14:textId="778CCFFE" w:rsidR="00E2254B" w:rsidRPr="00D21998" w:rsidRDefault="00E2254B" w:rsidP="000A32B1">
      <w:pPr>
        <w:pStyle w:val="ListParagraph"/>
        <w:numPr>
          <w:ilvl w:val="1"/>
          <w:numId w:val="24"/>
        </w:numPr>
        <w:spacing w:after="0" w:line="276" w:lineRule="auto"/>
        <w:jc w:val="both"/>
        <w:rPr>
          <w:rFonts w:cstheme="minorHAnsi"/>
          <w:bCs/>
          <w:color w:val="000000" w:themeColor="text1"/>
        </w:rPr>
      </w:pPr>
      <w:r w:rsidRPr="00D21998">
        <w:rPr>
          <w:rFonts w:cstheme="minorHAnsi"/>
          <w:bCs/>
          <w:color w:val="000000" w:themeColor="text1"/>
        </w:rPr>
        <w:t>Patent Grant Fund – targeting local researchers and inventors</w:t>
      </w:r>
    </w:p>
    <w:p w14:paraId="701445B9" w14:textId="6282312B" w:rsidR="00E2254B" w:rsidRPr="00D21998" w:rsidRDefault="00E2254B" w:rsidP="000A32B1">
      <w:pPr>
        <w:pStyle w:val="ListParagraph"/>
        <w:numPr>
          <w:ilvl w:val="1"/>
          <w:numId w:val="24"/>
        </w:numPr>
        <w:spacing w:after="0" w:line="276" w:lineRule="auto"/>
        <w:jc w:val="both"/>
        <w:rPr>
          <w:rFonts w:cstheme="minorHAnsi"/>
          <w:bCs/>
          <w:color w:val="000000" w:themeColor="text1"/>
        </w:rPr>
      </w:pPr>
      <w:r w:rsidRPr="00D21998">
        <w:rPr>
          <w:rFonts w:cstheme="minorHAnsi"/>
          <w:bCs/>
          <w:color w:val="000000" w:themeColor="text1"/>
        </w:rPr>
        <w:t>DBJ’s Angel Fund</w:t>
      </w:r>
    </w:p>
    <w:p w14:paraId="0323F5D5" w14:textId="4ED774B3" w:rsidR="00E2254B" w:rsidRPr="00D21998" w:rsidRDefault="00E2254B" w:rsidP="000A32B1">
      <w:pPr>
        <w:pStyle w:val="ListParagraph"/>
        <w:numPr>
          <w:ilvl w:val="1"/>
          <w:numId w:val="24"/>
        </w:numPr>
        <w:spacing w:after="0" w:line="276" w:lineRule="auto"/>
        <w:jc w:val="both"/>
        <w:rPr>
          <w:rFonts w:cstheme="minorHAnsi"/>
          <w:bCs/>
          <w:color w:val="000000" w:themeColor="text1"/>
        </w:rPr>
      </w:pPr>
      <w:r w:rsidRPr="00D21998">
        <w:rPr>
          <w:rFonts w:cstheme="minorHAnsi"/>
          <w:bCs/>
          <w:color w:val="000000" w:themeColor="text1"/>
        </w:rPr>
        <w:t xml:space="preserve">Business Incubator and Accelerator </w:t>
      </w:r>
      <w:proofErr w:type="spellStart"/>
      <w:r w:rsidRPr="00D21998">
        <w:rPr>
          <w:rFonts w:cstheme="minorHAnsi"/>
          <w:bCs/>
          <w:color w:val="000000" w:themeColor="text1"/>
        </w:rPr>
        <w:t>Programmes</w:t>
      </w:r>
      <w:proofErr w:type="spellEnd"/>
      <w:r w:rsidRPr="00D21998">
        <w:rPr>
          <w:rFonts w:cstheme="minorHAnsi"/>
          <w:bCs/>
          <w:color w:val="000000" w:themeColor="text1"/>
        </w:rPr>
        <w:t xml:space="preserve"> </w:t>
      </w:r>
    </w:p>
    <w:p w14:paraId="7D4951C6" w14:textId="262E1ABB" w:rsidR="00CA7826" w:rsidRPr="00D21998" w:rsidRDefault="003E6F7D" w:rsidP="000A32B1">
      <w:pPr>
        <w:pStyle w:val="ListParagraph"/>
        <w:numPr>
          <w:ilvl w:val="0"/>
          <w:numId w:val="24"/>
        </w:numPr>
        <w:spacing w:after="0" w:line="276" w:lineRule="auto"/>
        <w:jc w:val="both"/>
        <w:rPr>
          <w:rFonts w:cstheme="minorHAnsi"/>
          <w:bCs/>
          <w:color w:val="000000" w:themeColor="text1"/>
        </w:rPr>
      </w:pPr>
      <w:r w:rsidRPr="00D21998">
        <w:rPr>
          <w:rFonts w:cstheme="minorHAnsi"/>
          <w:bCs/>
          <w:color w:val="000000" w:themeColor="text1"/>
        </w:rPr>
        <w:t xml:space="preserve">Provide recommendations and actionable </w:t>
      </w:r>
      <w:r w:rsidR="00CA7826" w:rsidRPr="00D21998">
        <w:rPr>
          <w:rFonts w:cstheme="minorHAnsi"/>
          <w:bCs/>
          <w:color w:val="000000" w:themeColor="text1"/>
        </w:rPr>
        <w:t>solutions</w:t>
      </w:r>
      <w:r w:rsidRPr="00D21998">
        <w:rPr>
          <w:rFonts w:cstheme="minorHAnsi"/>
          <w:bCs/>
          <w:color w:val="000000" w:themeColor="text1"/>
        </w:rPr>
        <w:t xml:space="preserve"> (based on the country context</w:t>
      </w:r>
      <w:r w:rsidR="00532EF6" w:rsidRPr="00D21998">
        <w:rPr>
          <w:rFonts w:cstheme="minorHAnsi"/>
          <w:bCs/>
          <w:color w:val="000000" w:themeColor="text1"/>
        </w:rPr>
        <w:t>, assessment results,</w:t>
      </w:r>
      <w:r w:rsidRPr="00D21998">
        <w:rPr>
          <w:rFonts w:cstheme="minorHAnsi"/>
          <w:bCs/>
          <w:color w:val="000000" w:themeColor="text1"/>
        </w:rPr>
        <w:t xml:space="preserve"> and international good practices)</w:t>
      </w:r>
      <w:r w:rsidR="00CA7826" w:rsidRPr="00D21998">
        <w:rPr>
          <w:rFonts w:cstheme="minorHAnsi"/>
          <w:bCs/>
          <w:color w:val="000000" w:themeColor="text1"/>
        </w:rPr>
        <w:t xml:space="preserve"> to </w:t>
      </w:r>
      <w:r w:rsidR="004E3BA0" w:rsidRPr="00D21998">
        <w:rPr>
          <w:rFonts w:cstheme="minorHAnsi"/>
          <w:bCs/>
          <w:color w:val="000000" w:themeColor="text1"/>
        </w:rPr>
        <w:t xml:space="preserve">encourage and </w:t>
      </w:r>
      <w:r w:rsidR="00CA7826" w:rsidRPr="00D21998">
        <w:rPr>
          <w:rFonts w:cstheme="minorHAnsi"/>
          <w:bCs/>
          <w:color w:val="000000" w:themeColor="text1"/>
        </w:rPr>
        <w:t xml:space="preserve">increase the participation of Jamaican women in entrepreneurship </w:t>
      </w:r>
      <w:r w:rsidR="004D63AA" w:rsidRPr="00D21998">
        <w:rPr>
          <w:rFonts w:cstheme="minorHAnsi"/>
          <w:bCs/>
          <w:color w:val="000000" w:themeColor="text1"/>
        </w:rPr>
        <w:t>and counteract gen</w:t>
      </w:r>
      <w:r w:rsidR="0031171D" w:rsidRPr="00D21998">
        <w:rPr>
          <w:rFonts w:cstheme="minorHAnsi"/>
          <w:bCs/>
          <w:color w:val="000000" w:themeColor="text1"/>
        </w:rPr>
        <w:t>d</w:t>
      </w:r>
      <w:r w:rsidR="004D63AA" w:rsidRPr="00D21998">
        <w:rPr>
          <w:rFonts w:cstheme="minorHAnsi"/>
          <w:bCs/>
          <w:color w:val="000000" w:themeColor="text1"/>
        </w:rPr>
        <w:t>er-biases (if any) in such a programme</w:t>
      </w:r>
      <w:r w:rsidR="00B72AE7" w:rsidRPr="00D21998">
        <w:rPr>
          <w:rFonts w:cstheme="minorHAnsi"/>
          <w:bCs/>
          <w:color w:val="000000" w:themeColor="text1"/>
        </w:rPr>
        <w:t>.</w:t>
      </w:r>
      <w:r w:rsidR="00685FCA" w:rsidRPr="00D21998">
        <w:rPr>
          <w:rFonts w:cstheme="minorHAnsi"/>
          <w:bCs/>
          <w:color w:val="000000" w:themeColor="text1"/>
        </w:rPr>
        <w:t xml:space="preserve"> It should include </w:t>
      </w:r>
      <w:r w:rsidR="00785A28" w:rsidRPr="00D21998">
        <w:rPr>
          <w:rFonts w:cstheme="minorHAnsi"/>
          <w:bCs/>
          <w:color w:val="000000" w:themeColor="text1"/>
        </w:rPr>
        <w:t>recommendations and actionable solutions</w:t>
      </w:r>
      <w:r w:rsidR="003333A4" w:rsidRPr="00D21998">
        <w:rPr>
          <w:rFonts w:cstheme="minorHAnsi"/>
          <w:bCs/>
          <w:color w:val="000000" w:themeColor="text1"/>
        </w:rPr>
        <w:t xml:space="preserve"> aimed at </w:t>
      </w:r>
      <w:r w:rsidR="00A84DDC" w:rsidRPr="00D21998">
        <w:rPr>
          <w:rFonts w:cstheme="minorHAnsi"/>
          <w:bCs/>
          <w:color w:val="000000" w:themeColor="text1"/>
        </w:rPr>
        <w:t xml:space="preserve">businesswomen and entrepreneurs </w:t>
      </w:r>
      <w:r w:rsidR="00CA7826" w:rsidRPr="00D21998">
        <w:rPr>
          <w:rFonts w:cstheme="minorHAnsi"/>
          <w:bCs/>
          <w:color w:val="000000" w:themeColor="text1"/>
        </w:rPr>
        <w:t>in rural areas</w:t>
      </w:r>
      <w:r w:rsidR="00532EF6" w:rsidRPr="00D21998">
        <w:rPr>
          <w:rFonts w:cstheme="minorHAnsi"/>
          <w:bCs/>
          <w:color w:val="000000" w:themeColor="text1"/>
        </w:rPr>
        <w:t>.</w:t>
      </w:r>
    </w:p>
    <w:p w14:paraId="3A0B469E" w14:textId="56F5901C" w:rsidR="00CA7826" w:rsidRPr="00D21998" w:rsidRDefault="005A4680" w:rsidP="000A32B1">
      <w:pPr>
        <w:pStyle w:val="ListParagraph"/>
        <w:numPr>
          <w:ilvl w:val="0"/>
          <w:numId w:val="24"/>
        </w:numPr>
        <w:spacing w:after="0" w:line="276" w:lineRule="auto"/>
        <w:jc w:val="both"/>
        <w:rPr>
          <w:rFonts w:cstheme="minorHAnsi"/>
          <w:bCs/>
          <w:color w:val="000000" w:themeColor="text1"/>
        </w:rPr>
      </w:pPr>
      <w:r w:rsidRPr="00D21998">
        <w:rPr>
          <w:rFonts w:cstheme="minorHAnsi"/>
          <w:bCs/>
          <w:color w:val="000000" w:themeColor="text1"/>
        </w:rPr>
        <w:t xml:space="preserve">Provide </w:t>
      </w:r>
      <w:r w:rsidR="00C25F1C" w:rsidRPr="00D21998">
        <w:rPr>
          <w:rFonts w:cstheme="minorHAnsi"/>
          <w:bCs/>
          <w:color w:val="000000" w:themeColor="text1"/>
        </w:rPr>
        <w:t xml:space="preserve">practical, actionable and evidence-based </w:t>
      </w:r>
      <w:r w:rsidR="00CA7826" w:rsidRPr="00D21998">
        <w:rPr>
          <w:rFonts w:cstheme="minorHAnsi"/>
          <w:bCs/>
          <w:color w:val="000000" w:themeColor="text1"/>
        </w:rPr>
        <w:t xml:space="preserve">recommendations towards the development </w:t>
      </w:r>
      <w:r w:rsidR="007A2594" w:rsidRPr="00D21998">
        <w:rPr>
          <w:rFonts w:cstheme="minorHAnsi"/>
          <w:bCs/>
          <w:color w:val="000000" w:themeColor="text1"/>
        </w:rPr>
        <w:t>and</w:t>
      </w:r>
      <w:r w:rsidR="00CA7826" w:rsidRPr="00D21998">
        <w:rPr>
          <w:rFonts w:cstheme="minorHAnsi"/>
          <w:bCs/>
          <w:color w:val="000000" w:themeColor="text1"/>
        </w:rPr>
        <w:t xml:space="preserve"> implementation of targeted </w:t>
      </w:r>
      <w:proofErr w:type="spellStart"/>
      <w:r w:rsidR="00CA7826" w:rsidRPr="00D21998">
        <w:rPr>
          <w:rFonts w:cstheme="minorHAnsi"/>
          <w:bCs/>
          <w:color w:val="000000" w:themeColor="text1"/>
        </w:rPr>
        <w:t>programmes</w:t>
      </w:r>
      <w:proofErr w:type="spellEnd"/>
      <w:r w:rsidR="00CA7826" w:rsidRPr="00D21998">
        <w:rPr>
          <w:rFonts w:cstheme="minorHAnsi"/>
          <w:bCs/>
          <w:color w:val="000000" w:themeColor="text1"/>
        </w:rPr>
        <w:t xml:space="preserve"> and products by the DBJ to support women entrepreneurs in Jamaica</w:t>
      </w:r>
      <w:r w:rsidR="007A2594" w:rsidRPr="00D21998">
        <w:rPr>
          <w:rFonts w:cstheme="minorHAnsi"/>
          <w:bCs/>
          <w:color w:val="000000" w:themeColor="text1"/>
        </w:rPr>
        <w:t>. It</w:t>
      </w:r>
      <w:r w:rsidR="00CA7826" w:rsidRPr="00D21998">
        <w:rPr>
          <w:rFonts w:cstheme="minorHAnsi"/>
          <w:bCs/>
          <w:color w:val="000000" w:themeColor="text1"/>
        </w:rPr>
        <w:t xml:space="preserve"> </w:t>
      </w:r>
      <w:r w:rsidR="007A2594" w:rsidRPr="00D21998">
        <w:rPr>
          <w:rFonts w:cstheme="minorHAnsi"/>
          <w:bCs/>
          <w:color w:val="000000" w:themeColor="text1"/>
        </w:rPr>
        <w:t>should</w:t>
      </w:r>
      <w:r w:rsidR="002F6BA4" w:rsidRPr="00D21998">
        <w:rPr>
          <w:rFonts w:cstheme="minorHAnsi"/>
          <w:bCs/>
          <w:color w:val="000000" w:themeColor="text1"/>
        </w:rPr>
        <w:t xml:space="preserve"> </w:t>
      </w:r>
      <w:r w:rsidR="00801BCF" w:rsidRPr="00D21998">
        <w:rPr>
          <w:rFonts w:cstheme="minorHAnsi"/>
          <w:bCs/>
          <w:color w:val="000000" w:themeColor="text1"/>
        </w:rPr>
        <w:t>include</w:t>
      </w:r>
      <w:r w:rsidR="00812FAC" w:rsidRPr="00D21998">
        <w:rPr>
          <w:rFonts w:cstheme="minorHAnsi"/>
          <w:bCs/>
          <w:color w:val="000000" w:themeColor="text1"/>
        </w:rPr>
        <w:t xml:space="preserve"> </w:t>
      </w:r>
      <w:r w:rsidR="001112FF" w:rsidRPr="00D21998">
        <w:rPr>
          <w:rFonts w:cstheme="minorHAnsi"/>
          <w:bCs/>
          <w:color w:val="000000" w:themeColor="text1"/>
        </w:rPr>
        <w:t xml:space="preserve">operating </w:t>
      </w:r>
      <w:r w:rsidR="002F6BA4" w:rsidRPr="00D21998">
        <w:rPr>
          <w:rFonts w:cstheme="minorHAnsi"/>
          <w:bCs/>
          <w:color w:val="000000" w:themeColor="text1"/>
        </w:rPr>
        <w:t xml:space="preserve">guidelines for </w:t>
      </w:r>
      <w:r w:rsidR="00812FAC" w:rsidRPr="00D21998">
        <w:rPr>
          <w:rFonts w:cstheme="minorHAnsi"/>
          <w:bCs/>
          <w:color w:val="000000" w:themeColor="text1"/>
        </w:rPr>
        <w:t xml:space="preserve">the </w:t>
      </w:r>
      <w:r w:rsidR="001112FF" w:rsidRPr="00D21998">
        <w:rPr>
          <w:rFonts w:cstheme="minorHAnsi"/>
          <w:bCs/>
          <w:color w:val="000000" w:themeColor="text1"/>
        </w:rPr>
        <w:t xml:space="preserve">development </w:t>
      </w:r>
      <w:r w:rsidR="00812FAC" w:rsidRPr="00D21998">
        <w:rPr>
          <w:rFonts w:cstheme="minorHAnsi"/>
          <w:bCs/>
          <w:color w:val="000000" w:themeColor="text1"/>
        </w:rPr>
        <w:t xml:space="preserve">of new product and </w:t>
      </w:r>
      <w:proofErr w:type="spellStart"/>
      <w:r w:rsidR="00812FAC" w:rsidRPr="00D21998">
        <w:rPr>
          <w:rFonts w:cstheme="minorHAnsi"/>
          <w:bCs/>
          <w:color w:val="000000" w:themeColor="text1"/>
        </w:rPr>
        <w:t>programmes</w:t>
      </w:r>
      <w:proofErr w:type="spellEnd"/>
      <w:r w:rsidR="00812FAC" w:rsidRPr="00D21998">
        <w:rPr>
          <w:rFonts w:cstheme="minorHAnsi"/>
          <w:bCs/>
          <w:color w:val="000000" w:themeColor="text1"/>
        </w:rPr>
        <w:t xml:space="preserve"> by the DBJ</w:t>
      </w:r>
      <w:r w:rsidR="002F6BA4" w:rsidRPr="00D21998">
        <w:rPr>
          <w:rFonts w:cstheme="minorHAnsi"/>
          <w:bCs/>
          <w:color w:val="000000" w:themeColor="text1"/>
        </w:rPr>
        <w:t>.</w:t>
      </w:r>
      <w:r w:rsidR="001112FF" w:rsidRPr="00D21998">
        <w:rPr>
          <w:rFonts w:cstheme="minorHAnsi"/>
          <w:bCs/>
          <w:color w:val="000000" w:themeColor="text1"/>
        </w:rPr>
        <w:t xml:space="preserve"> Where relevant, it should also include recommendations for potential partnership with existing actors that are supporting women-led firms in Jamaica. </w:t>
      </w:r>
    </w:p>
    <w:p w14:paraId="27800EB8" w14:textId="77777777" w:rsidR="00DA68C0" w:rsidRPr="00D21998" w:rsidRDefault="00DA68C0" w:rsidP="000A32B1">
      <w:pPr>
        <w:pStyle w:val="ListParagraph"/>
        <w:numPr>
          <w:ilvl w:val="0"/>
          <w:numId w:val="24"/>
        </w:numPr>
        <w:spacing w:line="276" w:lineRule="auto"/>
        <w:jc w:val="both"/>
        <w:rPr>
          <w:rFonts w:cstheme="minorHAnsi"/>
          <w:bCs/>
          <w:color w:val="000000" w:themeColor="text1"/>
        </w:rPr>
      </w:pPr>
      <w:r w:rsidRPr="00D21998">
        <w:rPr>
          <w:rFonts w:cstheme="minorHAnsi"/>
          <w:bCs/>
          <w:color w:val="000000" w:themeColor="text1"/>
        </w:rPr>
        <w:t>Any other activities necessary to accomplish the stated objectives of the consultancy assignment.</w:t>
      </w:r>
    </w:p>
    <w:p w14:paraId="087C0921" w14:textId="1ADB94CE" w:rsidR="00F04D0D" w:rsidRPr="00D21998" w:rsidRDefault="00F04D0D" w:rsidP="00C560A2">
      <w:pPr>
        <w:spacing w:line="240" w:lineRule="auto"/>
        <w:jc w:val="both"/>
        <w:rPr>
          <w:color w:val="000000" w:themeColor="text1"/>
          <w:shd w:val="clear" w:color="auto" w:fill="FFFFFF"/>
        </w:rPr>
      </w:pPr>
      <w:r w:rsidRPr="00D21998">
        <w:rPr>
          <w:color w:val="000000" w:themeColor="text1"/>
          <w:shd w:val="clear" w:color="auto" w:fill="FFFFFF"/>
        </w:rPr>
        <w:t>It is expected that the consultant, in executing the assignment will:</w:t>
      </w:r>
    </w:p>
    <w:p w14:paraId="15343467" w14:textId="7B085167" w:rsidR="00F04D0D" w:rsidRPr="00D21998" w:rsidRDefault="00F04D0D" w:rsidP="00C560A2">
      <w:pPr>
        <w:pStyle w:val="ListParagraph"/>
        <w:numPr>
          <w:ilvl w:val="0"/>
          <w:numId w:val="25"/>
        </w:numPr>
        <w:spacing w:line="240" w:lineRule="auto"/>
        <w:jc w:val="both"/>
        <w:rPr>
          <w:color w:val="000000" w:themeColor="text1"/>
          <w:shd w:val="clear" w:color="auto" w:fill="FFFFFF"/>
        </w:rPr>
      </w:pPr>
      <w:r w:rsidRPr="00D21998">
        <w:rPr>
          <w:color w:val="000000" w:themeColor="text1"/>
          <w:shd w:val="clear" w:color="auto" w:fill="FFFFFF"/>
        </w:rPr>
        <w:t xml:space="preserve">Undertake desk </w:t>
      </w:r>
      <w:r w:rsidR="76364D9E" w:rsidRPr="00D21998">
        <w:rPr>
          <w:rFonts w:ascii="Calibri" w:eastAsia="Calibri" w:hAnsi="Calibri" w:cs="Calibri"/>
          <w:color w:val="000000" w:themeColor="text1"/>
        </w:rPr>
        <w:t xml:space="preserve">and field </w:t>
      </w:r>
      <w:r w:rsidRPr="00D21998">
        <w:rPr>
          <w:color w:val="000000" w:themeColor="text1"/>
          <w:shd w:val="clear" w:color="auto" w:fill="FFFFFF"/>
        </w:rPr>
        <w:t>research to inform the assessment</w:t>
      </w:r>
      <w:r w:rsidR="00531823" w:rsidRPr="00D21998">
        <w:rPr>
          <w:color w:val="000000" w:themeColor="text1"/>
          <w:shd w:val="clear" w:color="auto" w:fill="FFFFFF"/>
        </w:rPr>
        <w:t>.</w:t>
      </w:r>
      <w:r w:rsidRPr="00D21998">
        <w:rPr>
          <w:color w:val="000000" w:themeColor="text1"/>
          <w:shd w:val="clear" w:color="auto" w:fill="FFFFFF"/>
        </w:rPr>
        <w:t xml:space="preserve">  </w:t>
      </w:r>
    </w:p>
    <w:p w14:paraId="090B172A" w14:textId="093800FA" w:rsidR="00F04D0D" w:rsidRPr="00D21998" w:rsidRDefault="00F04D0D" w:rsidP="00C560A2">
      <w:pPr>
        <w:pStyle w:val="ListParagraph"/>
        <w:numPr>
          <w:ilvl w:val="0"/>
          <w:numId w:val="25"/>
        </w:numPr>
        <w:spacing w:line="240" w:lineRule="auto"/>
        <w:jc w:val="both"/>
        <w:rPr>
          <w:color w:val="000000" w:themeColor="text1"/>
          <w:shd w:val="clear" w:color="auto" w:fill="FFFFFF"/>
        </w:rPr>
      </w:pPr>
      <w:r w:rsidRPr="00D21998">
        <w:rPr>
          <w:color w:val="000000" w:themeColor="text1"/>
          <w:shd w:val="clear" w:color="auto" w:fill="FFFFFF"/>
        </w:rPr>
        <w:t>Develop and finalize research instrument(s) including, but not limited to pre-testing and pre-coding of the research instruments</w:t>
      </w:r>
      <w:r w:rsidR="00531823" w:rsidRPr="00D21998">
        <w:rPr>
          <w:color w:val="000000" w:themeColor="text1"/>
          <w:shd w:val="clear" w:color="auto" w:fill="FFFFFF"/>
        </w:rPr>
        <w:t>.</w:t>
      </w:r>
    </w:p>
    <w:p w14:paraId="28B8D372" w14:textId="2A552FA2" w:rsidR="00812FAC" w:rsidRPr="00D21998" w:rsidRDefault="00F04D0D" w:rsidP="00C560A2">
      <w:pPr>
        <w:pStyle w:val="ListParagraph"/>
        <w:numPr>
          <w:ilvl w:val="0"/>
          <w:numId w:val="25"/>
        </w:numPr>
        <w:spacing w:line="240" w:lineRule="auto"/>
        <w:jc w:val="both"/>
        <w:rPr>
          <w:strike/>
          <w:color w:val="000000" w:themeColor="text1"/>
        </w:rPr>
      </w:pPr>
      <w:r w:rsidRPr="00D21998">
        <w:rPr>
          <w:color w:val="000000" w:themeColor="text1"/>
          <w:shd w:val="clear" w:color="auto" w:fill="FFFFFF"/>
        </w:rPr>
        <w:t>Engage and survey stakeholders to inform the assessment</w:t>
      </w:r>
      <w:r w:rsidR="00531823" w:rsidRPr="00D21998">
        <w:rPr>
          <w:strike/>
          <w:color w:val="000000" w:themeColor="text1"/>
          <w:shd w:val="clear" w:color="auto" w:fill="FFFFFF"/>
        </w:rPr>
        <w:t>;</w:t>
      </w:r>
      <w:r w:rsidRPr="00D21998">
        <w:rPr>
          <w:strike/>
          <w:color w:val="000000" w:themeColor="text1"/>
          <w:shd w:val="clear" w:color="auto" w:fill="FFFFFF"/>
        </w:rPr>
        <w:t xml:space="preserve"> </w:t>
      </w:r>
    </w:p>
    <w:p w14:paraId="742D767E" w14:textId="4FD91354" w:rsidR="00FA4A96" w:rsidRPr="00D21998" w:rsidRDefault="76364D9E" w:rsidP="00FA4A96">
      <w:pPr>
        <w:pStyle w:val="ListParagraph"/>
        <w:numPr>
          <w:ilvl w:val="0"/>
          <w:numId w:val="25"/>
        </w:numPr>
        <w:rPr>
          <w:color w:val="000000" w:themeColor="text1"/>
        </w:rPr>
      </w:pPr>
      <w:r w:rsidRPr="00D21998">
        <w:rPr>
          <w:color w:val="000000" w:themeColor="text1"/>
        </w:rPr>
        <w:t xml:space="preserve">Discuss the project objectives, approach, expected outputs and outcome, and any other issues related to the execution of the consultancy with the DBJ team.  </w:t>
      </w:r>
    </w:p>
    <w:p w14:paraId="693903E2" w14:textId="44A20603" w:rsidR="00FA4A96" w:rsidRPr="00D21998" w:rsidRDefault="00536AE2" w:rsidP="00C560A2">
      <w:pPr>
        <w:pStyle w:val="ListParagraph"/>
        <w:numPr>
          <w:ilvl w:val="0"/>
          <w:numId w:val="25"/>
        </w:numPr>
        <w:spacing w:line="240" w:lineRule="auto"/>
        <w:jc w:val="both"/>
        <w:rPr>
          <w:color w:val="000000" w:themeColor="text1"/>
        </w:rPr>
      </w:pPr>
      <w:r w:rsidRPr="00D21998">
        <w:rPr>
          <w:color w:val="000000" w:themeColor="text1"/>
        </w:rPr>
        <w:t>Provide permanent status updates (as required) on the consultancy progress.</w:t>
      </w:r>
    </w:p>
    <w:p w14:paraId="69CAA018" w14:textId="27E56DEB" w:rsidR="00DE5B00" w:rsidRPr="00D21998" w:rsidRDefault="76364D9E" w:rsidP="00DE5B00">
      <w:pPr>
        <w:pStyle w:val="ListParagraph"/>
        <w:numPr>
          <w:ilvl w:val="0"/>
          <w:numId w:val="25"/>
        </w:numPr>
        <w:rPr>
          <w:color w:val="000000" w:themeColor="text1"/>
        </w:rPr>
      </w:pPr>
      <w:r w:rsidRPr="00D21998">
        <w:rPr>
          <w:color w:val="000000" w:themeColor="text1"/>
        </w:rPr>
        <w:t xml:space="preserve">Identify opportunities with key agencies that support women-led firms in Jamaica in order to explore opportunities for </w:t>
      </w:r>
      <w:proofErr w:type="gramStart"/>
      <w:r w:rsidRPr="00D21998">
        <w:rPr>
          <w:color w:val="000000" w:themeColor="text1"/>
        </w:rPr>
        <w:t xml:space="preserve">collaboration,  </w:t>
      </w:r>
      <w:proofErr w:type="spellStart"/>
      <w:r w:rsidRPr="00D21998">
        <w:rPr>
          <w:color w:val="000000" w:themeColor="text1"/>
        </w:rPr>
        <w:t>i.e</w:t>
      </w:r>
      <w:proofErr w:type="spellEnd"/>
      <w:proofErr w:type="gramEnd"/>
      <w:r w:rsidRPr="00D21998">
        <w:rPr>
          <w:color w:val="000000" w:themeColor="text1"/>
        </w:rPr>
        <w:t xml:space="preserve"> technical  and financial support</w:t>
      </w:r>
    </w:p>
    <w:p w14:paraId="38A665F2" w14:textId="77777777" w:rsidR="00591595" w:rsidRPr="00D21998" w:rsidRDefault="00591595" w:rsidP="00AD5A08">
      <w:pPr>
        <w:pStyle w:val="ListParagraph"/>
        <w:spacing w:line="240" w:lineRule="auto"/>
        <w:jc w:val="both"/>
        <w:rPr>
          <w:color w:val="000000" w:themeColor="text1"/>
        </w:rPr>
      </w:pPr>
    </w:p>
    <w:p w14:paraId="6265FAA0" w14:textId="655B72C6" w:rsidR="00C560A2" w:rsidRPr="00D21998" w:rsidRDefault="005160B4" w:rsidP="00AD5A08">
      <w:pPr>
        <w:pStyle w:val="ListParagraph"/>
        <w:numPr>
          <w:ilvl w:val="0"/>
          <w:numId w:val="33"/>
        </w:numPr>
        <w:spacing w:line="240" w:lineRule="auto"/>
        <w:jc w:val="both"/>
        <w:rPr>
          <w:b/>
          <w:bCs/>
          <w:color w:val="000000" w:themeColor="text1"/>
          <w:shd w:val="clear" w:color="auto" w:fill="FFFFFF"/>
        </w:rPr>
      </w:pPr>
      <w:r w:rsidRPr="00D21998">
        <w:rPr>
          <w:b/>
          <w:bCs/>
          <w:color w:val="000000" w:themeColor="text1"/>
          <w:shd w:val="clear" w:color="auto" w:fill="FFFFFF"/>
        </w:rPr>
        <w:t>QUALIFICATIONS</w:t>
      </w:r>
    </w:p>
    <w:p w14:paraId="66B471C8" w14:textId="7A94CBB7" w:rsidR="005160B4" w:rsidRPr="00D21998" w:rsidRDefault="005160B4" w:rsidP="00C560A2">
      <w:pPr>
        <w:spacing w:line="240" w:lineRule="auto"/>
        <w:jc w:val="both"/>
        <w:rPr>
          <w:color w:val="000000" w:themeColor="text1"/>
          <w:shd w:val="clear" w:color="auto" w:fill="FFFFFF"/>
        </w:rPr>
      </w:pPr>
      <w:r w:rsidRPr="00D21998">
        <w:rPr>
          <w:color w:val="000000" w:themeColor="text1"/>
          <w:shd w:val="clear" w:color="auto" w:fill="FFFFFF"/>
        </w:rPr>
        <w:t xml:space="preserve">The </w:t>
      </w:r>
      <w:r w:rsidR="003A7EA2" w:rsidRPr="00D21998">
        <w:rPr>
          <w:color w:val="000000" w:themeColor="text1"/>
          <w:shd w:val="clear" w:color="auto" w:fill="FFFFFF"/>
        </w:rPr>
        <w:t>consultant</w:t>
      </w:r>
      <w:r w:rsidRPr="00D21998">
        <w:rPr>
          <w:color w:val="000000" w:themeColor="text1"/>
          <w:shd w:val="clear" w:color="auto" w:fill="FFFFFF"/>
        </w:rPr>
        <w:t xml:space="preserve"> will be expected to have the following capabilities and skills:</w:t>
      </w:r>
    </w:p>
    <w:p w14:paraId="2A56C136" w14:textId="77B8C73B" w:rsidR="00953D93" w:rsidRPr="00D21998" w:rsidRDefault="00566DE4" w:rsidP="00566DE4">
      <w:pPr>
        <w:pStyle w:val="ListParagraph"/>
        <w:numPr>
          <w:ilvl w:val="0"/>
          <w:numId w:val="13"/>
        </w:numPr>
        <w:spacing w:line="240" w:lineRule="auto"/>
        <w:jc w:val="both"/>
        <w:rPr>
          <w:rFonts w:eastAsiaTheme="minorEastAsia"/>
          <w:color w:val="000000" w:themeColor="text1"/>
        </w:rPr>
      </w:pPr>
      <w:r w:rsidRPr="00D21998">
        <w:rPr>
          <w:b/>
          <w:bCs/>
          <w:color w:val="000000" w:themeColor="text1"/>
        </w:rPr>
        <w:t>Education:</w:t>
      </w:r>
      <w:r w:rsidRPr="00D21998">
        <w:rPr>
          <w:color w:val="000000" w:themeColor="text1"/>
        </w:rPr>
        <w:t xml:space="preserve"> Postgraduate degree in Sociology, Economics, Behavioural Science or a relevant Social Science. </w:t>
      </w:r>
    </w:p>
    <w:p w14:paraId="47013142" w14:textId="7CBB6141" w:rsidR="007D2810" w:rsidRPr="00D21998" w:rsidRDefault="00953D93" w:rsidP="007D2810">
      <w:pPr>
        <w:pStyle w:val="ListParagraph"/>
        <w:numPr>
          <w:ilvl w:val="0"/>
          <w:numId w:val="13"/>
        </w:numPr>
        <w:spacing w:line="240" w:lineRule="auto"/>
        <w:jc w:val="both"/>
        <w:rPr>
          <w:rFonts w:eastAsiaTheme="minorEastAsia"/>
          <w:color w:val="000000" w:themeColor="text1"/>
        </w:rPr>
      </w:pPr>
      <w:r w:rsidRPr="00D21998">
        <w:rPr>
          <w:b/>
          <w:bCs/>
          <w:color w:val="000000" w:themeColor="text1"/>
        </w:rPr>
        <w:lastRenderedPageBreak/>
        <w:t>Experience:</w:t>
      </w:r>
      <w:r w:rsidRPr="00D21998">
        <w:rPr>
          <w:color w:val="000000" w:themeColor="text1"/>
        </w:rPr>
        <w:t xml:space="preserve"> Experience in similar assignments, in terms of nature of the assignment, complexity and scale, for at least five (5) years.</w:t>
      </w:r>
      <w:r w:rsidR="00DE3BA4" w:rsidRPr="00D21998">
        <w:rPr>
          <w:color w:val="000000" w:themeColor="text1"/>
        </w:rPr>
        <w:t xml:space="preserve"> Practical experience in research method</w:t>
      </w:r>
      <w:r w:rsidR="007D2810" w:rsidRPr="00D21998">
        <w:rPr>
          <w:color w:val="000000" w:themeColor="text1"/>
        </w:rPr>
        <w:t>s</w:t>
      </w:r>
      <w:r w:rsidR="00DE3BA4" w:rsidRPr="00D21998">
        <w:rPr>
          <w:color w:val="000000" w:themeColor="text1"/>
        </w:rPr>
        <w:t xml:space="preserve"> and qualitative analysis techniques</w:t>
      </w:r>
      <w:r w:rsidR="007D2810" w:rsidRPr="00D21998">
        <w:rPr>
          <w:color w:val="000000" w:themeColor="text1"/>
        </w:rPr>
        <w:t xml:space="preserve"> is required</w:t>
      </w:r>
      <w:r w:rsidR="00DE3BA4" w:rsidRPr="00D21998">
        <w:rPr>
          <w:color w:val="000000" w:themeColor="text1"/>
        </w:rPr>
        <w:t>,</w:t>
      </w:r>
      <w:r w:rsidR="007D2810" w:rsidRPr="00D21998">
        <w:rPr>
          <w:color w:val="000000" w:themeColor="text1"/>
        </w:rPr>
        <w:t xml:space="preserve"> as well as</w:t>
      </w:r>
      <w:r w:rsidR="00DE3BA4" w:rsidRPr="00D21998">
        <w:rPr>
          <w:color w:val="000000" w:themeColor="text1"/>
        </w:rPr>
        <w:t xml:space="preserve"> proven experience in gender and entrepreneurship issues.</w:t>
      </w:r>
      <w:r w:rsidR="007D2810" w:rsidRPr="00D21998">
        <w:rPr>
          <w:color w:val="000000" w:themeColor="text1"/>
        </w:rPr>
        <w:t xml:space="preserve"> </w:t>
      </w:r>
      <w:r w:rsidR="007B5CDC" w:rsidRPr="00D21998">
        <w:rPr>
          <w:color w:val="000000" w:themeColor="text1"/>
        </w:rPr>
        <w:t>Knowledge of the Jamaican entrepreneurial ecosystem, relevant institutions/actors and public support programs.</w:t>
      </w:r>
    </w:p>
    <w:p w14:paraId="08DA9167" w14:textId="6C3C011F" w:rsidR="00566DE4" w:rsidRDefault="00006A73" w:rsidP="00FA032F">
      <w:pPr>
        <w:pStyle w:val="ListParagraph"/>
        <w:numPr>
          <w:ilvl w:val="0"/>
          <w:numId w:val="13"/>
        </w:numPr>
        <w:spacing w:line="240" w:lineRule="auto"/>
        <w:jc w:val="both"/>
        <w:rPr>
          <w:rFonts w:eastAsiaTheme="minorEastAsia"/>
          <w:color w:val="000000" w:themeColor="text1"/>
        </w:rPr>
      </w:pPr>
      <w:r w:rsidRPr="00D21998">
        <w:rPr>
          <w:rFonts w:eastAsiaTheme="minorEastAsia"/>
          <w:color w:val="000000" w:themeColor="text1"/>
        </w:rPr>
        <w:t>Consultant must also demonstrate effective time management skills and ability to work with deadlines.</w:t>
      </w:r>
    </w:p>
    <w:p w14:paraId="5503E23F" w14:textId="4CFE1358" w:rsidR="00183CF9" w:rsidRPr="00183CF9" w:rsidRDefault="00183CF9" w:rsidP="00FA032F">
      <w:pPr>
        <w:pStyle w:val="ListParagraph"/>
        <w:numPr>
          <w:ilvl w:val="0"/>
          <w:numId w:val="13"/>
        </w:numPr>
        <w:spacing w:line="240" w:lineRule="auto"/>
        <w:jc w:val="both"/>
        <w:rPr>
          <w:bCs/>
          <w:color w:val="000000" w:themeColor="text1"/>
        </w:rPr>
      </w:pPr>
      <w:r w:rsidRPr="00183CF9">
        <w:rPr>
          <w:b/>
          <w:bCs/>
          <w:color w:val="000000" w:themeColor="text1"/>
        </w:rPr>
        <w:t xml:space="preserve">Languages: </w:t>
      </w:r>
      <w:r w:rsidRPr="00183CF9">
        <w:rPr>
          <w:bCs/>
          <w:color w:val="000000" w:themeColor="text1"/>
        </w:rPr>
        <w:t>Fluency in oral and written English.</w:t>
      </w:r>
    </w:p>
    <w:p w14:paraId="37BB4C85" w14:textId="74233DB4" w:rsidR="005160B4" w:rsidRPr="00D21998" w:rsidRDefault="005160B4" w:rsidP="00C560A2">
      <w:pPr>
        <w:pStyle w:val="ListParagraph"/>
        <w:spacing w:line="240" w:lineRule="auto"/>
        <w:jc w:val="both"/>
        <w:rPr>
          <w:rFonts w:eastAsiaTheme="minorEastAsia"/>
          <w:color w:val="000000" w:themeColor="text1"/>
        </w:rPr>
      </w:pPr>
    </w:p>
    <w:p w14:paraId="27736787" w14:textId="088E9AB1" w:rsidR="005160B4" w:rsidRPr="00D21998" w:rsidRDefault="005160B4" w:rsidP="00AD5A08">
      <w:pPr>
        <w:pStyle w:val="ListParagraph"/>
        <w:numPr>
          <w:ilvl w:val="0"/>
          <w:numId w:val="33"/>
        </w:numPr>
        <w:spacing w:line="240" w:lineRule="auto"/>
        <w:jc w:val="both"/>
        <w:rPr>
          <w:rFonts w:cstheme="minorHAnsi"/>
          <w:b/>
          <w:color w:val="000000" w:themeColor="text1"/>
        </w:rPr>
      </w:pPr>
      <w:r w:rsidRPr="00D21998">
        <w:rPr>
          <w:rFonts w:cstheme="minorHAnsi"/>
          <w:b/>
          <w:color w:val="000000" w:themeColor="text1"/>
        </w:rPr>
        <w:t>EXPECTED DELIVERABLES</w:t>
      </w:r>
    </w:p>
    <w:p w14:paraId="6498555C" w14:textId="6CC75549" w:rsidR="005160B4" w:rsidRPr="00D21998" w:rsidRDefault="006D6B79" w:rsidP="00C560A2">
      <w:pPr>
        <w:spacing w:line="240" w:lineRule="auto"/>
        <w:jc w:val="both"/>
        <w:rPr>
          <w:color w:val="000000" w:themeColor="text1"/>
        </w:rPr>
      </w:pPr>
      <w:r w:rsidRPr="00D21998">
        <w:rPr>
          <w:color w:val="000000" w:themeColor="text1"/>
        </w:rPr>
        <w:t>The consultant will deliver the following products:</w:t>
      </w:r>
    </w:p>
    <w:tbl>
      <w:tblPr>
        <w:tblStyle w:val="TableGrid"/>
        <w:tblW w:w="0" w:type="auto"/>
        <w:tblLook w:val="04A0" w:firstRow="1" w:lastRow="0" w:firstColumn="1" w:lastColumn="0" w:noHBand="0" w:noVBand="1"/>
      </w:tblPr>
      <w:tblGrid>
        <w:gridCol w:w="8720"/>
      </w:tblGrid>
      <w:tr w:rsidR="00DD5034" w:rsidRPr="00D21998" w14:paraId="15AFE841" w14:textId="77777777" w:rsidTr="76364D9E">
        <w:trPr>
          <w:trHeight w:val="1106"/>
        </w:trPr>
        <w:tc>
          <w:tcPr>
            <w:tcW w:w="8720" w:type="dxa"/>
            <w:vAlign w:val="center"/>
          </w:tcPr>
          <w:p w14:paraId="3B95F6DE" w14:textId="361FBEFE" w:rsidR="00A03D58" w:rsidRPr="00D21998" w:rsidRDefault="00A03D58" w:rsidP="004C49AF">
            <w:pPr>
              <w:pStyle w:val="NoSpacing"/>
              <w:tabs>
                <w:tab w:val="left" w:pos="6870"/>
              </w:tabs>
              <w:rPr>
                <w:b/>
                <w:bCs/>
                <w:color w:val="000000" w:themeColor="text1"/>
              </w:rPr>
            </w:pPr>
            <w:r w:rsidRPr="00D21998">
              <w:rPr>
                <w:b/>
                <w:bCs/>
                <w:color w:val="000000" w:themeColor="text1"/>
              </w:rPr>
              <w:t>Deliverable 1: Project Inception Report</w:t>
            </w:r>
          </w:p>
          <w:p w14:paraId="032C821C" w14:textId="7C8E08B2" w:rsidR="00A03D58" w:rsidRPr="00D21998" w:rsidRDefault="00A03D58" w:rsidP="004C49AF">
            <w:pPr>
              <w:pStyle w:val="NoSpacing"/>
              <w:numPr>
                <w:ilvl w:val="0"/>
                <w:numId w:val="30"/>
              </w:numPr>
              <w:tabs>
                <w:tab w:val="left" w:pos="6870"/>
              </w:tabs>
              <w:rPr>
                <w:color w:val="000000" w:themeColor="text1"/>
              </w:rPr>
            </w:pPr>
            <w:r w:rsidRPr="00D21998">
              <w:rPr>
                <w:color w:val="000000" w:themeColor="text1"/>
              </w:rPr>
              <w:t>Work plan with timelines</w:t>
            </w:r>
            <w:r w:rsidR="00F530FC" w:rsidRPr="00D21998">
              <w:rPr>
                <w:color w:val="000000" w:themeColor="text1"/>
              </w:rPr>
              <w:t>.</w:t>
            </w:r>
            <w:r w:rsidRPr="00D21998">
              <w:rPr>
                <w:color w:val="000000" w:themeColor="text1"/>
              </w:rPr>
              <w:t xml:space="preserve"> </w:t>
            </w:r>
          </w:p>
          <w:p w14:paraId="426CA053" w14:textId="7AEED848" w:rsidR="00106F4E" w:rsidRPr="00D21998" w:rsidRDefault="00F530FC" w:rsidP="009D2C6F">
            <w:pPr>
              <w:pStyle w:val="NoSpacing"/>
              <w:numPr>
                <w:ilvl w:val="0"/>
                <w:numId w:val="30"/>
              </w:numPr>
              <w:tabs>
                <w:tab w:val="left" w:pos="6870"/>
              </w:tabs>
              <w:rPr>
                <w:color w:val="000000" w:themeColor="text1"/>
              </w:rPr>
            </w:pPr>
            <w:r w:rsidRPr="00D21998">
              <w:rPr>
                <w:color w:val="000000" w:themeColor="text1"/>
              </w:rPr>
              <w:t>Proposed methodological approach to accomplish the objectives of the consultancy</w:t>
            </w:r>
            <w:r w:rsidR="00DE5B00" w:rsidRPr="00D21998">
              <w:rPr>
                <w:color w:val="000000" w:themeColor="text1"/>
              </w:rPr>
              <w:t>, including proposing the definition that will be applied to women-led firms for the programme</w:t>
            </w:r>
            <w:r w:rsidRPr="00D21998">
              <w:rPr>
                <w:color w:val="000000" w:themeColor="text1"/>
              </w:rPr>
              <w:t>.</w:t>
            </w:r>
          </w:p>
          <w:p w14:paraId="766BEEE4" w14:textId="7DDFF369" w:rsidR="00A03D58" w:rsidRPr="00D21998" w:rsidRDefault="00B35F79" w:rsidP="009D2C6F">
            <w:pPr>
              <w:pStyle w:val="NoSpacing"/>
              <w:numPr>
                <w:ilvl w:val="0"/>
                <w:numId w:val="30"/>
              </w:numPr>
              <w:tabs>
                <w:tab w:val="left" w:pos="6870"/>
              </w:tabs>
              <w:rPr>
                <w:color w:val="000000" w:themeColor="text1"/>
              </w:rPr>
            </w:pPr>
            <w:r w:rsidRPr="00D21998">
              <w:rPr>
                <w:color w:val="000000" w:themeColor="text1"/>
              </w:rPr>
              <w:t>Draft</w:t>
            </w:r>
            <w:r w:rsidR="00DE5B00" w:rsidRPr="00D21998">
              <w:rPr>
                <w:color w:val="000000" w:themeColor="text1"/>
              </w:rPr>
              <w:t xml:space="preserve"> design</w:t>
            </w:r>
            <w:r w:rsidRPr="00D21998">
              <w:rPr>
                <w:color w:val="000000" w:themeColor="text1"/>
              </w:rPr>
              <w:t xml:space="preserve"> </w:t>
            </w:r>
            <w:r w:rsidR="00B30C20" w:rsidRPr="00D21998">
              <w:rPr>
                <w:color w:val="000000" w:themeColor="text1"/>
              </w:rPr>
              <w:t xml:space="preserve">of the </w:t>
            </w:r>
            <w:r w:rsidR="00744E61" w:rsidRPr="00D21998">
              <w:rPr>
                <w:color w:val="000000" w:themeColor="text1"/>
              </w:rPr>
              <w:t xml:space="preserve">instruments for collecting information. </w:t>
            </w:r>
          </w:p>
          <w:p w14:paraId="5D882F62" w14:textId="24B3CCB1" w:rsidR="00DE5B00" w:rsidRPr="00D21998" w:rsidRDefault="00DE5B00" w:rsidP="009D2C6F">
            <w:pPr>
              <w:pStyle w:val="NoSpacing"/>
              <w:numPr>
                <w:ilvl w:val="0"/>
                <w:numId w:val="30"/>
              </w:numPr>
              <w:tabs>
                <w:tab w:val="left" w:pos="6870"/>
              </w:tabs>
              <w:rPr>
                <w:color w:val="000000" w:themeColor="text1"/>
              </w:rPr>
            </w:pPr>
            <w:r w:rsidRPr="00D21998">
              <w:rPr>
                <w:color w:val="000000" w:themeColor="text1"/>
              </w:rPr>
              <w:t xml:space="preserve">Identification of existing data sources (such as the IFPG firm level dataset) that will be referenced in the study </w:t>
            </w:r>
          </w:p>
        </w:tc>
      </w:tr>
      <w:tr w:rsidR="00DD5034" w:rsidRPr="00D21998" w14:paraId="565D164D" w14:textId="77777777" w:rsidTr="76364D9E">
        <w:trPr>
          <w:trHeight w:val="890"/>
        </w:trPr>
        <w:tc>
          <w:tcPr>
            <w:tcW w:w="8720" w:type="dxa"/>
            <w:vAlign w:val="center"/>
          </w:tcPr>
          <w:p w14:paraId="186DCCB9" w14:textId="584848F4" w:rsidR="00A03D58" w:rsidRPr="00D21998" w:rsidRDefault="00A03D58" w:rsidP="004C49AF">
            <w:pPr>
              <w:pStyle w:val="NoSpacing"/>
              <w:tabs>
                <w:tab w:val="left" w:pos="6870"/>
              </w:tabs>
              <w:rPr>
                <w:b/>
                <w:bCs/>
                <w:color w:val="000000" w:themeColor="text1"/>
              </w:rPr>
            </w:pPr>
            <w:r w:rsidRPr="00D21998">
              <w:rPr>
                <w:b/>
                <w:bCs/>
                <w:color w:val="000000" w:themeColor="text1"/>
              </w:rPr>
              <w:t>Deliverable 2: Research Instruments</w:t>
            </w:r>
            <w:r w:rsidR="00314623" w:rsidRPr="00D21998">
              <w:rPr>
                <w:b/>
                <w:bCs/>
                <w:color w:val="000000" w:themeColor="text1"/>
              </w:rPr>
              <w:t xml:space="preserve"> and </w:t>
            </w:r>
            <w:r w:rsidR="00916391" w:rsidRPr="00D21998">
              <w:rPr>
                <w:b/>
                <w:bCs/>
                <w:color w:val="000000" w:themeColor="text1"/>
              </w:rPr>
              <w:t>Progress Report</w:t>
            </w:r>
          </w:p>
          <w:p w14:paraId="47539725" w14:textId="1389F3B1" w:rsidR="00A03D58" w:rsidRPr="00D21998" w:rsidRDefault="00A03D58" w:rsidP="004C49AF">
            <w:pPr>
              <w:pStyle w:val="NoSpacing"/>
              <w:numPr>
                <w:ilvl w:val="0"/>
                <w:numId w:val="26"/>
              </w:numPr>
              <w:tabs>
                <w:tab w:val="left" w:pos="6870"/>
              </w:tabs>
              <w:rPr>
                <w:color w:val="000000" w:themeColor="text1"/>
              </w:rPr>
            </w:pPr>
            <w:r w:rsidRPr="00D21998">
              <w:rPr>
                <w:color w:val="000000" w:themeColor="text1"/>
              </w:rPr>
              <w:t xml:space="preserve">Copies (Hard &amp; </w:t>
            </w:r>
            <w:r w:rsidR="003F6BA4" w:rsidRPr="00D21998">
              <w:rPr>
                <w:color w:val="000000" w:themeColor="text1"/>
              </w:rPr>
              <w:t>Digital</w:t>
            </w:r>
            <w:r w:rsidRPr="00D21998">
              <w:rPr>
                <w:color w:val="000000" w:themeColor="text1"/>
              </w:rPr>
              <w:t>) of completed survey questionnaires</w:t>
            </w:r>
            <w:r w:rsidR="00D8204E" w:rsidRPr="00D21998">
              <w:rPr>
                <w:color w:val="000000" w:themeColor="text1"/>
              </w:rPr>
              <w:t>.</w:t>
            </w:r>
          </w:p>
          <w:p w14:paraId="555B1295" w14:textId="77777777" w:rsidR="00A03D58" w:rsidRPr="00D21998" w:rsidRDefault="00A03D58" w:rsidP="004C49AF">
            <w:pPr>
              <w:pStyle w:val="NoSpacing"/>
              <w:numPr>
                <w:ilvl w:val="0"/>
                <w:numId w:val="26"/>
              </w:numPr>
              <w:tabs>
                <w:tab w:val="left" w:pos="6870"/>
              </w:tabs>
              <w:rPr>
                <w:color w:val="000000" w:themeColor="text1"/>
              </w:rPr>
            </w:pPr>
            <w:r w:rsidRPr="00D21998">
              <w:rPr>
                <w:color w:val="000000" w:themeColor="text1"/>
              </w:rPr>
              <w:t>Finalized research sample and sample design.</w:t>
            </w:r>
          </w:p>
          <w:p w14:paraId="5740E276" w14:textId="12F5406B" w:rsidR="00247A2C" w:rsidRPr="00D21998" w:rsidRDefault="00FE5718" w:rsidP="00247A2C">
            <w:pPr>
              <w:pStyle w:val="NoSpacing"/>
              <w:numPr>
                <w:ilvl w:val="0"/>
                <w:numId w:val="26"/>
              </w:numPr>
              <w:tabs>
                <w:tab w:val="left" w:pos="6870"/>
              </w:tabs>
              <w:rPr>
                <w:color w:val="000000" w:themeColor="text1"/>
              </w:rPr>
            </w:pPr>
            <w:r w:rsidRPr="00D21998">
              <w:rPr>
                <w:color w:val="000000" w:themeColor="text1"/>
              </w:rPr>
              <w:t>Comprehensive d</w:t>
            </w:r>
            <w:r w:rsidR="00247A2C" w:rsidRPr="00D21998">
              <w:rPr>
                <w:color w:val="000000" w:themeColor="text1"/>
              </w:rPr>
              <w:t>atabase of officials/actors engaged (surveyed, interviewed, reached, etc.).</w:t>
            </w:r>
          </w:p>
          <w:p w14:paraId="6CDA3A49" w14:textId="32204C61" w:rsidR="00247A2C" w:rsidRPr="00D21998" w:rsidRDefault="00247A2C" w:rsidP="00247A2C">
            <w:pPr>
              <w:pStyle w:val="NoSpacing"/>
              <w:numPr>
                <w:ilvl w:val="0"/>
                <w:numId w:val="26"/>
              </w:numPr>
              <w:tabs>
                <w:tab w:val="left" w:pos="6870"/>
              </w:tabs>
              <w:rPr>
                <w:color w:val="000000" w:themeColor="text1"/>
              </w:rPr>
            </w:pPr>
            <w:r w:rsidRPr="00D21998">
              <w:rPr>
                <w:color w:val="000000" w:themeColor="text1"/>
              </w:rPr>
              <w:t xml:space="preserve">A report containing a summary of </w:t>
            </w:r>
            <w:r w:rsidR="0092094C" w:rsidRPr="00D21998">
              <w:rPr>
                <w:color w:val="000000" w:themeColor="text1"/>
              </w:rPr>
              <w:t xml:space="preserve">activities </w:t>
            </w:r>
            <w:r w:rsidR="004012B6" w:rsidRPr="00D21998">
              <w:rPr>
                <w:color w:val="000000" w:themeColor="text1"/>
              </w:rPr>
              <w:t xml:space="preserve">and </w:t>
            </w:r>
            <w:r w:rsidRPr="00D21998">
              <w:rPr>
                <w:color w:val="000000" w:themeColor="text1"/>
              </w:rPr>
              <w:t>main results</w:t>
            </w:r>
            <w:r w:rsidR="00B77F5E" w:rsidRPr="00D21998">
              <w:rPr>
                <w:color w:val="000000" w:themeColor="text1"/>
              </w:rPr>
              <w:t xml:space="preserve"> at this stage.</w:t>
            </w:r>
          </w:p>
        </w:tc>
      </w:tr>
      <w:tr w:rsidR="00A03D58" w:rsidRPr="00D21998" w14:paraId="73B3A256" w14:textId="77777777" w:rsidTr="76364D9E">
        <w:trPr>
          <w:trHeight w:val="890"/>
        </w:trPr>
        <w:tc>
          <w:tcPr>
            <w:tcW w:w="8720" w:type="dxa"/>
            <w:vAlign w:val="center"/>
          </w:tcPr>
          <w:p w14:paraId="05A947BF" w14:textId="2E567A2F" w:rsidR="00A03D58" w:rsidRPr="00D21998" w:rsidRDefault="76364D9E" w:rsidP="004C49AF">
            <w:pPr>
              <w:pStyle w:val="NoSpacing"/>
              <w:tabs>
                <w:tab w:val="left" w:pos="6870"/>
              </w:tabs>
              <w:rPr>
                <w:color w:val="000000" w:themeColor="text1"/>
              </w:rPr>
            </w:pPr>
            <w:r w:rsidRPr="00D21998">
              <w:rPr>
                <w:b/>
                <w:bCs/>
                <w:color w:val="000000" w:themeColor="text1"/>
              </w:rPr>
              <w:t>Deliverable 3: Final Report</w:t>
            </w:r>
            <w:r w:rsidRPr="00D21998">
              <w:rPr>
                <w:color w:val="000000" w:themeColor="text1"/>
              </w:rPr>
              <w:t xml:space="preserve"> inclusive of:</w:t>
            </w:r>
          </w:p>
          <w:p w14:paraId="61F734F7" w14:textId="5870FA5B" w:rsidR="00A229B0" w:rsidRPr="00D21998" w:rsidRDefault="00F8197D" w:rsidP="00A229B0">
            <w:pPr>
              <w:pStyle w:val="NoSpacing"/>
              <w:numPr>
                <w:ilvl w:val="0"/>
                <w:numId w:val="29"/>
              </w:numPr>
              <w:tabs>
                <w:tab w:val="left" w:pos="6870"/>
              </w:tabs>
              <w:rPr>
                <w:color w:val="000000" w:themeColor="text1"/>
              </w:rPr>
            </w:pPr>
            <w:r w:rsidRPr="00D21998">
              <w:rPr>
                <w:color w:val="000000" w:themeColor="text1"/>
              </w:rPr>
              <w:t>Analys</w:t>
            </w:r>
            <w:r w:rsidR="0011008B" w:rsidRPr="00D21998">
              <w:rPr>
                <w:color w:val="000000" w:themeColor="text1"/>
              </w:rPr>
              <w:t>i</w:t>
            </w:r>
            <w:r w:rsidRPr="00D21998">
              <w:rPr>
                <w:color w:val="000000" w:themeColor="text1"/>
              </w:rPr>
              <w:t>s, k</w:t>
            </w:r>
            <w:r w:rsidR="00A229B0" w:rsidRPr="00D21998">
              <w:rPr>
                <w:color w:val="000000" w:themeColor="text1"/>
              </w:rPr>
              <w:t>ey findings</w:t>
            </w:r>
            <w:r w:rsidR="0011008B" w:rsidRPr="00D21998">
              <w:rPr>
                <w:color w:val="000000" w:themeColor="text1"/>
              </w:rPr>
              <w:t>,</w:t>
            </w:r>
            <w:r w:rsidR="00A229B0" w:rsidRPr="00D21998">
              <w:rPr>
                <w:color w:val="000000" w:themeColor="text1"/>
              </w:rPr>
              <w:t xml:space="preserve"> and recommendations, as described in section 3 (scope of work).</w:t>
            </w:r>
          </w:p>
          <w:p w14:paraId="3AD0EA66" w14:textId="20056A4F" w:rsidR="0011008B" w:rsidRPr="00D21998" w:rsidRDefault="0011008B" w:rsidP="0011008B">
            <w:pPr>
              <w:pStyle w:val="NoSpacing"/>
              <w:numPr>
                <w:ilvl w:val="0"/>
                <w:numId w:val="29"/>
              </w:numPr>
              <w:tabs>
                <w:tab w:val="left" w:pos="6870"/>
              </w:tabs>
              <w:rPr>
                <w:color w:val="000000" w:themeColor="text1"/>
              </w:rPr>
            </w:pPr>
            <w:r w:rsidRPr="00D21998">
              <w:rPr>
                <w:color w:val="000000" w:themeColor="text1"/>
              </w:rPr>
              <w:t>Guidelines for the design of new product</w:t>
            </w:r>
            <w:r w:rsidR="001112FF" w:rsidRPr="00D21998">
              <w:rPr>
                <w:color w:val="000000" w:themeColor="text1"/>
              </w:rPr>
              <w:t>(s)</w:t>
            </w:r>
            <w:r w:rsidRPr="00D21998">
              <w:rPr>
                <w:color w:val="000000" w:themeColor="text1"/>
              </w:rPr>
              <w:t xml:space="preserve"> and </w:t>
            </w:r>
            <w:proofErr w:type="spellStart"/>
            <w:r w:rsidRPr="00D21998">
              <w:rPr>
                <w:color w:val="000000" w:themeColor="text1"/>
              </w:rPr>
              <w:t>programmes</w:t>
            </w:r>
            <w:proofErr w:type="spellEnd"/>
            <w:r w:rsidRPr="00D21998">
              <w:rPr>
                <w:color w:val="000000" w:themeColor="text1"/>
              </w:rPr>
              <w:t xml:space="preserve"> by the DBJ.</w:t>
            </w:r>
          </w:p>
          <w:p w14:paraId="4A320F8D" w14:textId="469A2F58" w:rsidR="00A03D58" w:rsidRPr="00D21998" w:rsidRDefault="00CC795B" w:rsidP="004C49AF">
            <w:pPr>
              <w:pStyle w:val="NoSpacing"/>
              <w:numPr>
                <w:ilvl w:val="0"/>
                <w:numId w:val="29"/>
              </w:numPr>
              <w:tabs>
                <w:tab w:val="left" w:pos="6870"/>
              </w:tabs>
              <w:rPr>
                <w:color w:val="000000" w:themeColor="text1"/>
              </w:rPr>
            </w:pPr>
            <w:r w:rsidRPr="00D21998">
              <w:rPr>
                <w:color w:val="000000" w:themeColor="text1"/>
              </w:rPr>
              <w:t>S</w:t>
            </w:r>
            <w:r w:rsidR="00A03D58" w:rsidRPr="00D21998">
              <w:rPr>
                <w:color w:val="000000" w:themeColor="text1"/>
              </w:rPr>
              <w:t>urvey results (data file and frequency tables including analysis)</w:t>
            </w:r>
            <w:r w:rsidR="00C736AB" w:rsidRPr="00D21998">
              <w:rPr>
                <w:color w:val="000000" w:themeColor="text1"/>
              </w:rPr>
              <w:t>.</w:t>
            </w:r>
          </w:p>
          <w:p w14:paraId="2AF562AF" w14:textId="0D5C8B3E" w:rsidR="00897388" w:rsidRPr="00D21998" w:rsidRDefault="0050332E" w:rsidP="004C49AF">
            <w:pPr>
              <w:pStyle w:val="NoSpacing"/>
              <w:numPr>
                <w:ilvl w:val="0"/>
                <w:numId w:val="29"/>
              </w:numPr>
              <w:tabs>
                <w:tab w:val="left" w:pos="6870"/>
              </w:tabs>
              <w:rPr>
                <w:color w:val="000000" w:themeColor="text1"/>
              </w:rPr>
            </w:pPr>
            <w:r w:rsidRPr="00D21998">
              <w:rPr>
                <w:color w:val="000000" w:themeColor="text1"/>
              </w:rPr>
              <w:t>2-pager summarizing the main results of the consultancy.</w:t>
            </w:r>
          </w:p>
          <w:p w14:paraId="7D8B71A8" w14:textId="36B02924" w:rsidR="0050332E" w:rsidRPr="00D21998" w:rsidRDefault="0050332E" w:rsidP="004C49AF">
            <w:pPr>
              <w:pStyle w:val="NoSpacing"/>
              <w:numPr>
                <w:ilvl w:val="0"/>
                <w:numId w:val="29"/>
              </w:numPr>
              <w:tabs>
                <w:tab w:val="left" w:pos="6870"/>
              </w:tabs>
              <w:rPr>
                <w:color w:val="000000" w:themeColor="text1"/>
              </w:rPr>
            </w:pPr>
            <w:r w:rsidRPr="00D21998">
              <w:rPr>
                <w:color w:val="000000" w:themeColor="text1"/>
              </w:rPr>
              <w:t>PPT of the main results.</w:t>
            </w:r>
          </w:p>
        </w:tc>
      </w:tr>
    </w:tbl>
    <w:p w14:paraId="62C1D68C" w14:textId="77777777" w:rsidR="00662707" w:rsidRPr="00D21998" w:rsidRDefault="00662707" w:rsidP="004C49AF">
      <w:pPr>
        <w:spacing w:line="240" w:lineRule="auto"/>
        <w:rPr>
          <w:color w:val="000000" w:themeColor="text1"/>
        </w:rPr>
      </w:pPr>
    </w:p>
    <w:p w14:paraId="631ADDFE" w14:textId="7DC5172B" w:rsidR="00AB325E" w:rsidRPr="00D21998" w:rsidRDefault="00AB325E">
      <w:pPr>
        <w:pStyle w:val="ListParagraph"/>
        <w:numPr>
          <w:ilvl w:val="0"/>
          <w:numId w:val="33"/>
        </w:numPr>
        <w:spacing w:line="240" w:lineRule="auto"/>
        <w:jc w:val="both"/>
        <w:rPr>
          <w:b/>
          <w:bCs/>
          <w:color w:val="000000" w:themeColor="text1"/>
          <w:shd w:val="clear" w:color="auto" w:fill="FFFFFF"/>
        </w:rPr>
      </w:pPr>
      <w:r w:rsidRPr="00D21998">
        <w:rPr>
          <w:b/>
          <w:bCs/>
          <w:color w:val="000000" w:themeColor="text1"/>
          <w:shd w:val="clear" w:color="auto" w:fill="FFFFFF"/>
        </w:rPr>
        <w:t>ACCEPTANCE CRITERIA</w:t>
      </w:r>
    </w:p>
    <w:p w14:paraId="0D16CD80" w14:textId="2452A890" w:rsidR="00AB325E" w:rsidRPr="00D21998" w:rsidRDefault="0006271B" w:rsidP="00AE7834">
      <w:pPr>
        <w:spacing w:line="240" w:lineRule="auto"/>
        <w:jc w:val="both"/>
        <w:rPr>
          <w:color w:val="000000" w:themeColor="text1"/>
          <w:shd w:val="clear" w:color="auto" w:fill="FFFFFF"/>
        </w:rPr>
      </w:pPr>
      <w:r w:rsidRPr="00D21998">
        <w:rPr>
          <w:color w:val="000000" w:themeColor="text1"/>
          <w:shd w:val="clear" w:color="auto" w:fill="FFFFFF"/>
        </w:rPr>
        <w:t xml:space="preserve">All deliverables </w:t>
      </w:r>
      <w:r w:rsidR="00B26DF7" w:rsidRPr="00D21998">
        <w:rPr>
          <w:color w:val="000000" w:themeColor="text1"/>
          <w:shd w:val="clear" w:color="auto" w:fill="FFFFFF"/>
        </w:rPr>
        <w:t xml:space="preserve">must be submitted to </w:t>
      </w:r>
      <w:r w:rsidR="00106F4E" w:rsidRPr="00D21998">
        <w:rPr>
          <w:color w:val="000000" w:themeColor="text1"/>
          <w:shd w:val="clear" w:color="auto" w:fill="FFFFFF"/>
        </w:rPr>
        <w:t>Manager, Product Development</w:t>
      </w:r>
      <w:r w:rsidRPr="00D21998">
        <w:rPr>
          <w:color w:val="000000" w:themeColor="text1"/>
          <w:shd w:val="clear" w:color="auto" w:fill="FFFFFF"/>
        </w:rPr>
        <w:t xml:space="preserve"> for reviewing. </w:t>
      </w:r>
      <w:r w:rsidR="00B5359A" w:rsidRPr="00D21998">
        <w:rPr>
          <w:color w:val="000000" w:themeColor="text1"/>
          <w:shd w:val="clear" w:color="auto" w:fill="FFFFFF"/>
        </w:rPr>
        <w:t xml:space="preserve">High quality deliverables are expected. </w:t>
      </w:r>
      <w:r w:rsidR="0058282B" w:rsidRPr="00D21998">
        <w:rPr>
          <w:color w:val="000000" w:themeColor="text1"/>
          <w:shd w:val="clear" w:color="auto" w:fill="FFFFFF"/>
        </w:rPr>
        <w:t>Comments will be provided by written email. The consult</w:t>
      </w:r>
      <w:r w:rsidR="00C0078D" w:rsidRPr="00D21998">
        <w:rPr>
          <w:color w:val="000000" w:themeColor="text1"/>
          <w:shd w:val="clear" w:color="auto" w:fill="FFFFFF"/>
        </w:rPr>
        <w:t xml:space="preserve">ant </w:t>
      </w:r>
      <w:r w:rsidR="0058282B" w:rsidRPr="00D21998">
        <w:rPr>
          <w:color w:val="000000" w:themeColor="text1"/>
          <w:shd w:val="clear" w:color="auto" w:fill="FFFFFF"/>
        </w:rPr>
        <w:t>is expected to provide written feedback on how comments were addressed.</w:t>
      </w:r>
      <w:r w:rsidR="007852EA" w:rsidRPr="00D21998">
        <w:rPr>
          <w:color w:val="000000" w:themeColor="text1"/>
          <w:shd w:val="clear" w:color="auto" w:fill="FFFFFF"/>
        </w:rPr>
        <w:t xml:space="preserve"> </w:t>
      </w:r>
      <w:r w:rsidR="0058282B" w:rsidRPr="00D21998">
        <w:rPr>
          <w:color w:val="000000" w:themeColor="text1"/>
          <w:shd w:val="clear" w:color="auto" w:fill="FFFFFF"/>
        </w:rPr>
        <w:t>Approval of quality deliverables will be provided in writing by email.</w:t>
      </w:r>
    </w:p>
    <w:p w14:paraId="6DA21656" w14:textId="41F32B60" w:rsidR="00C560A2" w:rsidRPr="00D21998" w:rsidRDefault="005160B4" w:rsidP="00AE7834">
      <w:pPr>
        <w:pStyle w:val="ListParagraph"/>
        <w:numPr>
          <w:ilvl w:val="0"/>
          <w:numId w:val="33"/>
        </w:numPr>
        <w:spacing w:line="240" w:lineRule="auto"/>
        <w:jc w:val="both"/>
        <w:rPr>
          <w:b/>
          <w:bCs/>
          <w:color w:val="000000" w:themeColor="text1"/>
          <w:shd w:val="clear" w:color="auto" w:fill="FFFFFF"/>
        </w:rPr>
      </w:pPr>
      <w:r w:rsidRPr="00D21998">
        <w:rPr>
          <w:b/>
          <w:bCs/>
          <w:color w:val="000000" w:themeColor="text1"/>
          <w:shd w:val="clear" w:color="auto" w:fill="FFFFFF"/>
        </w:rPr>
        <w:t>CONT</w:t>
      </w:r>
      <w:r w:rsidR="005219E8" w:rsidRPr="00D21998">
        <w:rPr>
          <w:b/>
          <w:bCs/>
          <w:color w:val="000000" w:themeColor="text1"/>
          <w:shd w:val="clear" w:color="auto" w:fill="FFFFFF"/>
        </w:rPr>
        <w:t>R</w:t>
      </w:r>
      <w:r w:rsidRPr="00D21998">
        <w:rPr>
          <w:b/>
          <w:bCs/>
          <w:color w:val="000000" w:themeColor="text1"/>
          <w:shd w:val="clear" w:color="auto" w:fill="FFFFFF"/>
        </w:rPr>
        <w:t>ACT DURATION</w:t>
      </w:r>
    </w:p>
    <w:p w14:paraId="7BB258BA" w14:textId="77B7CBDF" w:rsidR="00B7029B" w:rsidRPr="00D21998" w:rsidRDefault="005160B4" w:rsidP="00C560A2">
      <w:pPr>
        <w:spacing w:line="240" w:lineRule="auto"/>
        <w:jc w:val="both"/>
        <w:rPr>
          <w:color w:val="000000" w:themeColor="text1"/>
          <w:shd w:val="clear" w:color="auto" w:fill="FFFFFF"/>
        </w:rPr>
      </w:pPr>
      <w:r w:rsidRPr="00D21998">
        <w:rPr>
          <w:color w:val="000000" w:themeColor="text1"/>
          <w:shd w:val="clear" w:color="auto" w:fill="FFFFFF"/>
        </w:rPr>
        <w:t xml:space="preserve">The service would be provided for a period of </w:t>
      </w:r>
      <w:r w:rsidR="00A03D58" w:rsidRPr="00D21998">
        <w:rPr>
          <w:color w:val="000000" w:themeColor="text1"/>
          <w:shd w:val="clear" w:color="auto" w:fill="FFFFFF"/>
        </w:rPr>
        <w:t>4</w:t>
      </w:r>
      <w:r w:rsidR="00373FB2">
        <w:rPr>
          <w:color w:val="000000" w:themeColor="text1"/>
          <w:shd w:val="clear" w:color="auto" w:fill="FFFFFF"/>
        </w:rPr>
        <w:t>-</w:t>
      </w:r>
      <w:r w:rsidRPr="00D21998">
        <w:rPr>
          <w:color w:val="000000" w:themeColor="text1"/>
          <w:shd w:val="clear" w:color="auto" w:fill="FFFFFF"/>
        </w:rPr>
        <w:t>months and renewed for further periods depending on performance and mutual agreement. The service provider must be available to start at the earliest possible time, with reports developed on demand.</w:t>
      </w:r>
    </w:p>
    <w:p w14:paraId="0C5AE67C" w14:textId="6F172DB1" w:rsidR="005160B4" w:rsidRPr="00D21998" w:rsidRDefault="005160B4">
      <w:pPr>
        <w:pStyle w:val="ListParagraph"/>
        <w:numPr>
          <w:ilvl w:val="0"/>
          <w:numId w:val="33"/>
        </w:numPr>
        <w:spacing w:line="240" w:lineRule="auto"/>
        <w:rPr>
          <w:b/>
          <w:bCs/>
          <w:color w:val="000000" w:themeColor="text1"/>
          <w:shd w:val="clear" w:color="auto" w:fill="FFFFFF"/>
        </w:rPr>
      </w:pPr>
      <w:r w:rsidRPr="00D21998">
        <w:rPr>
          <w:b/>
          <w:bCs/>
          <w:color w:val="000000" w:themeColor="text1"/>
          <w:shd w:val="clear" w:color="auto" w:fill="FFFFFF"/>
        </w:rPr>
        <w:t>INDICATIVE PAYMENT TERMS</w:t>
      </w:r>
    </w:p>
    <w:p w14:paraId="6740E319" w14:textId="3D16A1D7" w:rsidR="002E7740" w:rsidRPr="00D21998" w:rsidRDefault="002E7740" w:rsidP="002E7740">
      <w:pPr>
        <w:spacing w:line="240" w:lineRule="auto"/>
        <w:rPr>
          <w:color w:val="000000" w:themeColor="text1"/>
          <w:shd w:val="clear" w:color="auto" w:fill="FFFFFF"/>
        </w:rPr>
      </w:pPr>
      <w:r w:rsidRPr="00D21998">
        <w:rPr>
          <w:color w:val="000000" w:themeColor="text1"/>
          <w:shd w:val="clear" w:color="auto" w:fill="FFFFFF"/>
        </w:rPr>
        <w:lastRenderedPageBreak/>
        <w:t>The payments will be processed as follows:</w:t>
      </w:r>
    </w:p>
    <w:tbl>
      <w:tblPr>
        <w:tblStyle w:val="TableGrid"/>
        <w:tblW w:w="0" w:type="auto"/>
        <w:tblLook w:val="04A0" w:firstRow="1" w:lastRow="0" w:firstColumn="1" w:lastColumn="0" w:noHBand="0" w:noVBand="1"/>
      </w:tblPr>
      <w:tblGrid>
        <w:gridCol w:w="2337"/>
        <w:gridCol w:w="2337"/>
        <w:gridCol w:w="2338"/>
        <w:gridCol w:w="2338"/>
      </w:tblGrid>
      <w:tr w:rsidR="00DD5034" w:rsidRPr="00D21998" w14:paraId="1E0A8B22" w14:textId="77777777" w:rsidTr="00365252">
        <w:tc>
          <w:tcPr>
            <w:tcW w:w="2337" w:type="dxa"/>
            <w:vAlign w:val="center"/>
          </w:tcPr>
          <w:p w14:paraId="756F07ED" w14:textId="2951905D" w:rsidR="00DF35BC" w:rsidRPr="00D21998" w:rsidRDefault="00DF35BC" w:rsidP="00C8412F">
            <w:pPr>
              <w:jc w:val="center"/>
              <w:rPr>
                <w:b/>
                <w:bCs/>
                <w:color w:val="000000" w:themeColor="text1"/>
                <w:shd w:val="clear" w:color="auto" w:fill="FFFFFF"/>
              </w:rPr>
            </w:pPr>
            <w:r w:rsidRPr="00D21998">
              <w:rPr>
                <w:b/>
                <w:bCs/>
                <w:color w:val="000000" w:themeColor="text1"/>
                <w:shd w:val="clear" w:color="auto" w:fill="FFFFFF"/>
              </w:rPr>
              <w:t>Payment No.</w:t>
            </w:r>
          </w:p>
        </w:tc>
        <w:tc>
          <w:tcPr>
            <w:tcW w:w="2337" w:type="dxa"/>
            <w:vAlign w:val="center"/>
          </w:tcPr>
          <w:p w14:paraId="3F90003D" w14:textId="56BD1131" w:rsidR="00DF35BC" w:rsidRPr="00D21998" w:rsidRDefault="00DF35BC" w:rsidP="00C8412F">
            <w:pPr>
              <w:jc w:val="center"/>
              <w:rPr>
                <w:b/>
                <w:bCs/>
                <w:color w:val="000000" w:themeColor="text1"/>
                <w:shd w:val="clear" w:color="auto" w:fill="FFFFFF"/>
              </w:rPr>
            </w:pPr>
            <w:r w:rsidRPr="00D21998">
              <w:rPr>
                <w:b/>
                <w:bCs/>
                <w:color w:val="000000" w:themeColor="text1"/>
                <w:shd w:val="clear" w:color="auto" w:fill="FFFFFF"/>
              </w:rPr>
              <w:t>Deliverable</w:t>
            </w:r>
          </w:p>
        </w:tc>
        <w:tc>
          <w:tcPr>
            <w:tcW w:w="2338" w:type="dxa"/>
            <w:vAlign w:val="center"/>
          </w:tcPr>
          <w:p w14:paraId="126608CB" w14:textId="6169459A" w:rsidR="00DF35BC" w:rsidRPr="00D21998" w:rsidRDefault="00DF35BC" w:rsidP="005F2544">
            <w:pPr>
              <w:jc w:val="center"/>
              <w:rPr>
                <w:b/>
                <w:bCs/>
                <w:color w:val="000000" w:themeColor="text1"/>
                <w:shd w:val="clear" w:color="auto" w:fill="FFFFFF"/>
              </w:rPr>
            </w:pPr>
            <w:r w:rsidRPr="00D21998">
              <w:rPr>
                <w:b/>
                <w:bCs/>
                <w:color w:val="000000" w:themeColor="text1"/>
                <w:shd w:val="clear" w:color="auto" w:fill="FFFFFF"/>
              </w:rPr>
              <w:t>% of the contract</w:t>
            </w:r>
          </w:p>
        </w:tc>
        <w:tc>
          <w:tcPr>
            <w:tcW w:w="2338" w:type="dxa"/>
            <w:vAlign w:val="center"/>
          </w:tcPr>
          <w:p w14:paraId="6F6C050C" w14:textId="7E94B948" w:rsidR="00DF35BC" w:rsidRPr="00D21998" w:rsidRDefault="001E2BFD" w:rsidP="005F2544">
            <w:pPr>
              <w:jc w:val="center"/>
              <w:rPr>
                <w:b/>
                <w:bCs/>
                <w:color w:val="000000" w:themeColor="text1"/>
                <w:shd w:val="clear" w:color="auto" w:fill="FFFFFF"/>
              </w:rPr>
            </w:pPr>
            <w:r>
              <w:rPr>
                <w:b/>
                <w:bCs/>
                <w:color w:val="000000" w:themeColor="text1"/>
                <w:shd w:val="clear" w:color="auto" w:fill="FFFFFF"/>
              </w:rPr>
              <w:t>Submission Deadline</w:t>
            </w:r>
          </w:p>
        </w:tc>
      </w:tr>
      <w:tr w:rsidR="00DD5034" w:rsidRPr="00D21998" w14:paraId="607E13E1" w14:textId="77777777" w:rsidTr="00C8412F">
        <w:tc>
          <w:tcPr>
            <w:tcW w:w="2337" w:type="dxa"/>
            <w:vAlign w:val="center"/>
          </w:tcPr>
          <w:p w14:paraId="5EE1028E" w14:textId="57A79114" w:rsidR="00CF0F47" w:rsidRPr="00D21998" w:rsidRDefault="00CF0F47" w:rsidP="00365252">
            <w:pPr>
              <w:rPr>
                <w:color w:val="000000" w:themeColor="text1"/>
                <w:shd w:val="clear" w:color="auto" w:fill="FFFFFF"/>
              </w:rPr>
            </w:pPr>
            <w:r w:rsidRPr="00D21998">
              <w:rPr>
                <w:color w:val="000000" w:themeColor="text1"/>
                <w:shd w:val="clear" w:color="auto" w:fill="FFFFFF"/>
              </w:rPr>
              <w:t>Payment 1</w:t>
            </w:r>
          </w:p>
        </w:tc>
        <w:tc>
          <w:tcPr>
            <w:tcW w:w="2337" w:type="dxa"/>
            <w:vAlign w:val="center"/>
          </w:tcPr>
          <w:p w14:paraId="792BD833" w14:textId="5226191A" w:rsidR="00CF0F47" w:rsidRPr="00D21998" w:rsidRDefault="00CF0F47" w:rsidP="00365252">
            <w:pPr>
              <w:rPr>
                <w:color w:val="000000" w:themeColor="text1"/>
                <w:shd w:val="clear" w:color="auto" w:fill="FFFFFF"/>
              </w:rPr>
            </w:pPr>
            <w:r w:rsidRPr="00D21998">
              <w:rPr>
                <w:color w:val="000000" w:themeColor="text1"/>
                <w:shd w:val="clear" w:color="auto" w:fill="FFFFFF"/>
              </w:rPr>
              <w:t xml:space="preserve">At the approval of </w:t>
            </w:r>
            <w:r w:rsidRPr="00D21998">
              <w:rPr>
                <w:color w:val="000000" w:themeColor="text1"/>
              </w:rPr>
              <w:t>Deliverable 1: Project Inception Report</w:t>
            </w:r>
          </w:p>
        </w:tc>
        <w:tc>
          <w:tcPr>
            <w:tcW w:w="2338" w:type="dxa"/>
            <w:vAlign w:val="center"/>
          </w:tcPr>
          <w:p w14:paraId="22121BD5" w14:textId="5DC3CCE3" w:rsidR="00CF0F47" w:rsidRPr="00D21998" w:rsidRDefault="0074231F" w:rsidP="00C8412F">
            <w:pPr>
              <w:jc w:val="center"/>
              <w:rPr>
                <w:color w:val="000000" w:themeColor="text1"/>
                <w:shd w:val="clear" w:color="auto" w:fill="FFFFFF"/>
              </w:rPr>
            </w:pPr>
            <w:r>
              <w:rPr>
                <w:color w:val="000000" w:themeColor="text1"/>
                <w:shd w:val="clear" w:color="auto" w:fill="FFFFFF"/>
              </w:rPr>
              <w:t>20</w:t>
            </w:r>
            <w:r w:rsidR="00365252" w:rsidRPr="00D21998">
              <w:rPr>
                <w:color w:val="000000" w:themeColor="text1"/>
                <w:shd w:val="clear" w:color="auto" w:fill="FFFFFF"/>
              </w:rPr>
              <w:t>%</w:t>
            </w:r>
          </w:p>
        </w:tc>
        <w:tc>
          <w:tcPr>
            <w:tcW w:w="2338" w:type="dxa"/>
            <w:vAlign w:val="center"/>
          </w:tcPr>
          <w:p w14:paraId="2BC2853C" w14:textId="5BFE5496" w:rsidR="00CF0F47" w:rsidRPr="00D21998" w:rsidRDefault="004B54E9" w:rsidP="00C8412F">
            <w:pPr>
              <w:jc w:val="center"/>
              <w:rPr>
                <w:color w:val="000000" w:themeColor="text1"/>
                <w:shd w:val="clear" w:color="auto" w:fill="FFFFFF"/>
              </w:rPr>
            </w:pPr>
            <w:r w:rsidRPr="00D21998">
              <w:rPr>
                <w:color w:val="000000" w:themeColor="text1"/>
                <w:shd w:val="clear" w:color="auto" w:fill="FFFFFF"/>
              </w:rPr>
              <w:t xml:space="preserve">2 weeks after </w:t>
            </w:r>
            <w:r w:rsidR="00C8412F" w:rsidRPr="00D21998">
              <w:rPr>
                <w:color w:val="000000" w:themeColor="text1"/>
                <w:shd w:val="clear" w:color="auto" w:fill="FFFFFF"/>
              </w:rPr>
              <w:t>signing the contract</w:t>
            </w:r>
          </w:p>
        </w:tc>
      </w:tr>
      <w:tr w:rsidR="00DD5034" w:rsidRPr="00D21998" w14:paraId="0325C2B3" w14:textId="77777777" w:rsidTr="00C8412F">
        <w:tc>
          <w:tcPr>
            <w:tcW w:w="2337" w:type="dxa"/>
            <w:vAlign w:val="center"/>
          </w:tcPr>
          <w:p w14:paraId="5FCD8AB5" w14:textId="3BA5A695" w:rsidR="00CF0F47" w:rsidRPr="00D21998" w:rsidRDefault="00365252" w:rsidP="00365252">
            <w:pPr>
              <w:rPr>
                <w:color w:val="000000" w:themeColor="text1"/>
                <w:shd w:val="clear" w:color="auto" w:fill="FFFFFF"/>
              </w:rPr>
            </w:pPr>
            <w:r w:rsidRPr="00D21998">
              <w:rPr>
                <w:color w:val="000000" w:themeColor="text1"/>
                <w:shd w:val="clear" w:color="auto" w:fill="FFFFFF"/>
              </w:rPr>
              <w:t>Payment 2</w:t>
            </w:r>
          </w:p>
        </w:tc>
        <w:tc>
          <w:tcPr>
            <w:tcW w:w="2337" w:type="dxa"/>
            <w:vAlign w:val="center"/>
          </w:tcPr>
          <w:p w14:paraId="6B4F3823" w14:textId="71BED1F1" w:rsidR="00CF0F47" w:rsidRPr="00D21998" w:rsidRDefault="00365252" w:rsidP="00365252">
            <w:pPr>
              <w:rPr>
                <w:color w:val="000000" w:themeColor="text1"/>
                <w:shd w:val="clear" w:color="auto" w:fill="FFFFFF"/>
              </w:rPr>
            </w:pPr>
            <w:r w:rsidRPr="00D21998">
              <w:rPr>
                <w:color w:val="000000" w:themeColor="text1"/>
                <w:shd w:val="clear" w:color="auto" w:fill="FFFFFF"/>
              </w:rPr>
              <w:t xml:space="preserve">At the approval of </w:t>
            </w:r>
            <w:r w:rsidRPr="00D21998">
              <w:rPr>
                <w:color w:val="000000" w:themeColor="text1"/>
              </w:rPr>
              <w:t>Deliverable 2: Research Instruments</w:t>
            </w:r>
            <w:r w:rsidR="00916391" w:rsidRPr="00D21998">
              <w:rPr>
                <w:color w:val="000000" w:themeColor="text1"/>
              </w:rPr>
              <w:t xml:space="preserve"> and Progress Report</w:t>
            </w:r>
          </w:p>
        </w:tc>
        <w:tc>
          <w:tcPr>
            <w:tcW w:w="2338" w:type="dxa"/>
            <w:vAlign w:val="center"/>
          </w:tcPr>
          <w:p w14:paraId="5929969E" w14:textId="57B135AE" w:rsidR="00CF0F47" w:rsidRPr="00D21998" w:rsidRDefault="00365252" w:rsidP="009B3C14">
            <w:pPr>
              <w:jc w:val="center"/>
              <w:rPr>
                <w:color w:val="000000" w:themeColor="text1"/>
                <w:shd w:val="clear" w:color="auto" w:fill="FFFFFF"/>
              </w:rPr>
            </w:pPr>
            <w:r w:rsidRPr="00D21998">
              <w:rPr>
                <w:color w:val="000000" w:themeColor="text1"/>
                <w:shd w:val="clear" w:color="auto" w:fill="FFFFFF"/>
              </w:rPr>
              <w:t>30%</w:t>
            </w:r>
          </w:p>
        </w:tc>
        <w:tc>
          <w:tcPr>
            <w:tcW w:w="2338" w:type="dxa"/>
            <w:vAlign w:val="center"/>
          </w:tcPr>
          <w:p w14:paraId="2B8407A3" w14:textId="796C66E5" w:rsidR="00CF0F47" w:rsidRPr="00D21998" w:rsidRDefault="00C8412F" w:rsidP="009B3C14">
            <w:pPr>
              <w:jc w:val="center"/>
              <w:rPr>
                <w:color w:val="000000" w:themeColor="text1"/>
                <w:shd w:val="clear" w:color="auto" w:fill="FFFFFF"/>
              </w:rPr>
            </w:pPr>
            <w:r w:rsidRPr="00D21998">
              <w:rPr>
                <w:color w:val="000000" w:themeColor="text1"/>
                <w:shd w:val="clear" w:color="auto" w:fill="FFFFFF"/>
              </w:rPr>
              <w:t>2 months after signing the contract</w:t>
            </w:r>
          </w:p>
        </w:tc>
      </w:tr>
      <w:tr w:rsidR="00DD5034" w:rsidRPr="00DD5034" w14:paraId="1158B640" w14:textId="77777777" w:rsidTr="00C8412F">
        <w:tc>
          <w:tcPr>
            <w:tcW w:w="2337" w:type="dxa"/>
            <w:vAlign w:val="center"/>
          </w:tcPr>
          <w:p w14:paraId="77D09288" w14:textId="2EAA7132" w:rsidR="00365252" w:rsidRPr="00D21998" w:rsidRDefault="00365252" w:rsidP="00365252">
            <w:pPr>
              <w:rPr>
                <w:color w:val="000000" w:themeColor="text1"/>
                <w:shd w:val="clear" w:color="auto" w:fill="FFFFFF"/>
              </w:rPr>
            </w:pPr>
            <w:r w:rsidRPr="00D21998">
              <w:rPr>
                <w:color w:val="000000" w:themeColor="text1"/>
                <w:shd w:val="clear" w:color="auto" w:fill="FFFFFF"/>
              </w:rPr>
              <w:t>Payment 3</w:t>
            </w:r>
          </w:p>
        </w:tc>
        <w:tc>
          <w:tcPr>
            <w:tcW w:w="2337" w:type="dxa"/>
            <w:vAlign w:val="center"/>
          </w:tcPr>
          <w:p w14:paraId="17927401" w14:textId="4AA066D3" w:rsidR="00365252" w:rsidRPr="00D21998" w:rsidRDefault="00EF79E1" w:rsidP="00365252">
            <w:pPr>
              <w:rPr>
                <w:color w:val="000000" w:themeColor="text1"/>
                <w:shd w:val="clear" w:color="auto" w:fill="FFFFFF"/>
              </w:rPr>
            </w:pPr>
            <w:r>
              <w:rPr>
                <w:color w:val="000000" w:themeColor="text1"/>
                <w:shd w:val="clear" w:color="auto" w:fill="FFFFFF"/>
              </w:rPr>
              <w:t xml:space="preserve">Review and </w:t>
            </w:r>
            <w:r w:rsidR="00365252" w:rsidRPr="00D21998">
              <w:rPr>
                <w:color w:val="000000" w:themeColor="text1"/>
                <w:shd w:val="clear" w:color="auto" w:fill="FFFFFF"/>
              </w:rPr>
              <w:t xml:space="preserve">approval of </w:t>
            </w:r>
            <w:r w:rsidR="00365252" w:rsidRPr="00D21998">
              <w:rPr>
                <w:color w:val="000000" w:themeColor="text1"/>
              </w:rPr>
              <w:t>Deliverable 3: Final Report</w:t>
            </w:r>
          </w:p>
        </w:tc>
        <w:tc>
          <w:tcPr>
            <w:tcW w:w="2338" w:type="dxa"/>
            <w:vAlign w:val="center"/>
          </w:tcPr>
          <w:p w14:paraId="687902EF" w14:textId="52923B2D" w:rsidR="00365252" w:rsidRPr="00D21998" w:rsidRDefault="00365252" w:rsidP="009B3C14">
            <w:pPr>
              <w:jc w:val="center"/>
              <w:rPr>
                <w:color w:val="000000" w:themeColor="text1"/>
                <w:shd w:val="clear" w:color="auto" w:fill="FFFFFF"/>
              </w:rPr>
            </w:pPr>
            <w:r w:rsidRPr="00D21998">
              <w:rPr>
                <w:color w:val="000000" w:themeColor="text1"/>
                <w:shd w:val="clear" w:color="auto" w:fill="FFFFFF"/>
              </w:rPr>
              <w:t>5</w:t>
            </w:r>
            <w:r w:rsidR="0074231F">
              <w:rPr>
                <w:color w:val="000000" w:themeColor="text1"/>
                <w:shd w:val="clear" w:color="auto" w:fill="FFFFFF"/>
              </w:rPr>
              <w:t>0</w:t>
            </w:r>
            <w:r w:rsidRPr="00D21998">
              <w:rPr>
                <w:color w:val="000000" w:themeColor="text1"/>
                <w:shd w:val="clear" w:color="auto" w:fill="FFFFFF"/>
              </w:rPr>
              <w:t>%</w:t>
            </w:r>
          </w:p>
        </w:tc>
        <w:tc>
          <w:tcPr>
            <w:tcW w:w="2338" w:type="dxa"/>
            <w:vAlign w:val="center"/>
          </w:tcPr>
          <w:p w14:paraId="057269FD" w14:textId="6C60A96A" w:rsidR="00365252" w:rsidRPr="00DD5034" w:rsidRDefault="00EF79E1" w:rsidP="009B3C14">
            <w:pPr>
              <w:jc w:val="center"/>
              <w:rPr>
                <w:color w:val="000000" w:themeColor="text1"/>
                <w:shd w:val="clear" w:color="auto" w:fill="FFFFFF"/>
              </w:rPr>
            </w:pPr>
            <w:r>
              <w:rPr>
                <w:color w:val="000000" w:themeColor="text1"/>
                <w:shd w:val="clear" w:color="auto" w:fill="FFFFFF"/>
              </w:rPr>
              <w:t xml:space="preserve">2-4 </w:t>
            </w:r>
            <w:r w:rsidR="00C8412F" w:rsidRPr="00D21998">
              <w:rPr>
                <w:color w:val="000000" w:themeColor="text1"/>
                <w:shd w:val="clear" w:color="auto" w:fill="FFFFFF"/>
              </w:rPr>
              <w:t>months after signing the contract</w:t>
            </w:r>
          </w:p>
        </w:tc>
      </w:tr>
    </w:tbl>
    <w:p w14:paraId="78F6F5EC" w14:textId="77777777" w:rsidR="00245132" w:rsidRPr="00DD5034" w:rsidRDefault="00245132" w:rsidP="004C49AF">
      <w:pPr>
        <w:spacing w:line="240" w:lineRule="auto"/>
        <w:rPr>
          <w:color w:val="000000" w:themeColor="text1"/>
        </w:rPr>
      </w:pPr>
    </w:p>
    <w:sectPr w:rsidR="00245132" w:rsidRPr="00DD5034" w:rsidSect="00EC79FD">
      <w:pgSz w:w="12240" w:h="15840"/>
      <w:pgMar w:top="1440" w:right="1440" w:bottom="1440" w:left="144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DAB2" w14:textId="77777777" w:rsidR="008373D7" w:rsidRDefault="008373D7" w:rsidP="005160B4">
      <w:pPr>
        <w:spacing w:after="0" w:line="240" w:lineRule="auto"/>
      </w:pPr>
      <w:r>
        <w:separator/>
      </w:r>
    </w:p>
  </w:endnote>
  <w:endnote w:type="continuationSeparator" w:id="0">
    <w:p w14:paraId="4405A344" w14:textId="77777777" w:rsidR="008373D7" w:rsidRDefault="008373D7" w:rsidP="0051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569B" w14:textId="77777777" w:rsidR="008373D7" w:rsidRDefault="008373D7" w:rsidP="005160B4">
      <w:pPr>
        <w:spacing w:after="0" w:line="240" w:lineRule="auto"/>
      </w:pPr>
      <w:r>
        <w:separator/>
      </w:r>
    </w:p>
  </w:footnote>
  <w:footnote w:type="continuationSeparator" w:id="0">
    <w:p w14:paraId="0EC117AE" w14:textId="77777777" w:rsidR="008373D7" w:rsidRDefault="008373D7" w:rsidP="005160B4">
      <w:pPr>
        <w:spacing w:after="0" w:line="240" w:lineRule="auto"/>
      </w:pPr>
      <w:r>
        <w:continuationSeparator/>
      </w:r>
    </w:p>
  </w:footnote>
  <w:footnote w:id="1">
    <w:p w14:paraId="34B981B2" w14:textId="204D6F50" w:rsidR="76364D9E" w:rsidRDefault="76364D9E" w:rsidP="00A84396">
      <w:pPr>
        <w:pStyle w:val="FootnoteText"/>
        <w:rPr>
          <w:rStyle w:val="normaltextrun"/>
          <w:rFonts w:ascii="Calibri" w:hAnsi="Calibri" w:cs="Calibri"/>
        </w:rPr>
      </w:pPr>
      <w:r w:rsidRPr="76364D9E">
        <w:rPr>
          <w:rStyle w:val="FootnoteReference"/>
        </w:rPr>
        <w:footnoteRef/>
      </w:r>
      <w:r>
        <w:t xml:space="preserve"> </w:t>
      </w:r>
      <w:r w:rsidRPr="76364D9E">
        <w:rPr>
          <w:rStyle w:val="normaltextrun"/>
          <w:rFonts w:ascii="Calibri" w:hAnsi="Calibri" w:cs="Calibri"/>
          <w:sz w:val="22"/>
          <w:szCs w:val="22"/>
        </w:rPr>
        <w:t>(Forbes, 2021).</w:t>
      </w:r>
    </w:p>
  </w:footnote>
  <w:footnote w:id="2">
    <w:p w14:paraId="57BFDACB" w14:textId="0E4E672C" w:rsidR="76364D9E" w:rsidRDefault="76364D9E" w:rsidP="00A84396">
      <w:pPr>
        <w:pStyle w:val="FootnoteText"/>
        <w:rPr>
          <w:rStyle w:val="normaltextrun"/>
          <w:rFonts w:ascii="Calibri" w:hAnsi="Calibri" w:cs="Calibri"/>
        </w:rPr>
      </w:pPr>
      <w:r w:rsidRPr="76364D9E">
        <w:rPr>
          <w:rStyle w:val="FootnoteReference"/>
        </w:rPr>
        <w:footnoteRef/>
      </w:r>
      <w:r>
        <w:t xml:space="preserve"> </w:t>
      </w:r>
      <w:r w:rsidRPr="76364D9E">
        <w:rPr>
          <w:rStyle w:val="normaltextrun"/>
          <w:rFonts w:ascii="Calibri" w:hAnsi="Calibri" w:cs="Calibri"/>
          <w:sz w:val="22"/>
          <w:szCs w:val="22"/>
        </w:rPr>
        <w:t xml:space="preserve">(Caribbean Policy research </w:t>
      </w:r>
      <w:proofErr w:type="spellStart"/>
      <w:r w:rsidRPr="76364D9E">
        <w:rPr>
          <w:rStyle w:val="normaltextrun"/>
          <w:rFonts w:ascii="Calibri" w:hAnsi="Calibri" w:cs="Calibri"/>
          <w:sz w:val="22"/>
          <w:szCs w:val="22"/>
        </w:rPr>
        <w:t>Insitute</w:t>
      </w:r>
      <w:proofErr w:type="spellEnd"/>
      <w:r w:rsidRPr="76364D9E">
        <w:rPr>
          <w:rStyle w:val="normaltextrun"/>
          <w:rFonts w:ascii="Calibri" w:hAnsi="Calibri" w:cs="Calibri"/>
          <w:sz w:val="22"/>
          <w:szCs w:val="22"/>
        </w:rPr>
        <w:t>, (CAPRI)APRI,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81A"/>
    <w:multiLevelType w:val="hybridMultilevel"/>
    <w:tmpl w:val="A656B3A2"/>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4EE4AB9"/>
    <w:multiLevelType w:val="hybridMultilevel"/>
    <w:tmpl w:val="C4A4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556AF"/>
    <w:multiLevelType w:val="hybridMultilevel"/>
    <w:tmpl w:val="A8E863FC"/>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08735FB6"/>
    <w:multiLevelType w:val="hybridMultilevel"/>
    <w:tmpl w:val="D8561D98"/>
    <w:lvl w:ilvl="0" w:tplc="E108A20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42445"/>
    <w:multiLevelType w:val="hybridMultilevel"/>
    <w:tmpl w:val="2EF01882"/>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5" w15:restartNumberingAfterBreak="0">
    <w:nsid w:val="163100C6"/>
    <w:multiLevelType w:val="hybridMultilevel"/>
    <w:tmpl w:val="01D8F696"/>
    <w:lvl w:ilvl="0" w:tplc="28162BCE">
      <w:start w:val="1"/>
      <w:numFmt w:val="lowerRoman"/>
      <w:lvlText w:val="(%1)"/>
      <w:lvlJc w:val="left"/>
      <w:pPr>
        <w:ind w:left="1440" w:hanging="720"/>
      </w:pPr>
      <w:rPr>
        <w:rFonts w:cstheme="minorHAnsi" w:hint="default"/>
        <w:color w:val="222222"/>
      </w:rPr>
    </w:lvl>
    <w:lvl w:ilvl="1" w:tplc="FFFFFFFF">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6" w15:restartNumberingAfterBreak="0">
    <w:nsid w:val="203032B3"/>
    <w:multiLevelType w:val="hybridMultilevel"/>
    <w:tmpl w:val="C0A2B90E"/>
    <w:lvl w:ilvl="0" w:tplc="F0885694">
      <w:start w:val="1"/>
      <w:numFmt w:val="decimal"/>
      <w:lvlText w:val="%1."/>
      <w:lvlJc w:val="left"/>
      <w:pPr>
        <w:ind w:left="720" w:hanging="360"/>
      </w:pPr>
    </w:lvl>
    <w:lvl w:ilvl="1" w:tplc="CB645CF2">
      <w:start w:val="1"/>
      <w:numFmt w:val="lowerLetter"/>
      <w:lvlText w:val="%2."/>
      <w:lvlJc w:val="left"/>
      <w:pPr>
        <w:ind w:left="1440" w:hanging="360"/>
      </w:pPr>
    </w:lvl>
    <w:lvl w:ilvl="2" w:tplc="0E9CBA5C">
      <w:start w:val="1"/>
      <w:numFmt w:val="lowerRoman"/>
      <w:lvlText w:val="%3."/>
      <w:lvlJc w:val="right"/>
      <w:pPr>
        <w:ind w:left="2160" w:hanging="180"/>
      </w:pPr>
    </w:lvl>
    <w:lvl w:ilvl="3" w:tplc="CDC8FE2A">
      <w:start w:val="1"/>
      <w:numFmt w:val="decimal"/>
      <w:lvlText w:val="%4."/>
      <w:lvlJc w:val="left"/>
      <w:pPr>
        <w:ind w:left="2880" w:hanging="360"/>
      </w:pPr>
    </w:lvl>
    <w:lvl w:ilvl="4" w:tplc="3F96BBDE">
      <w:start w:val="1"/>
      <w:numFmt w:val="lowerLetter"/>
      <w:lvlText w:val="%5."/>
      <w:lvlJc w:val="left"/>
      <w:pPr>
        <w:ind w:left="3600" w:hanging="360"/>
      </w:pPr>
    </w:lvl>
    <w:lvl w:ilvl="5" w:tplc="E5A8E62E">
      <w:start w:val="1"/>
      <w:numFmt w:val="lowerRoman"/>
      <w:lvlText w:val="%6."/>
      <w:lvlJc w:val="right"/>
      <w:pPr>
        <w:ind w:left="4320" w:hanging="180"/>
      </w:pPr>
    </w:lvl>
    <w:lvl w:ilvl="6" w:tplc="373A090A">
      <w:start w:val="1"/>
      <w:numFmt w:val="decimal"/>
      <w:lvlText w:val="%7."/>
      <w:lvlJc w:val="left"/>
      <w:pPr>
        <w:ind w:left="5040" w:hanging="360"/>
      </w:pPr>
    </w:lvl>
    <w:lvl w:ilvl="7" w:tplc="267A6398">
      <w:start w:val="1"/>
      <w:numFmt w:val="lowerLetter"/>
      <w:lvlText w:val="%8."/>
      <w:lvlJc w:val="left"/>
      <w:pPr>
        <w:ind w:left="5760" w:hanging="360"/>
      </w:pPr>
    </w:lvl>
    <w:lvl w:ilvl="8" w:tplc="5D52A4D8">
      <w:start w:val="1"/>
      <w:numFmt w:val="lowerRoman"/>
      <w:lvlText w:val="%9."/>
      <w:lvlJc w:val="right"/>
      <w:pPr>
        <w:ind w:left="6480" w:hanging="180"/>
      </w:pPr>
    </w:lvl>
  </w:abstractNum>
  <w:abstractNum w:abstractNumId="7" w15:restartNumberingAfterBreak="0">
    <w:nsid w:val="25317C80"/>
    <w:multiLevelType w:val="hybridMultilevel"/>
    <w:tmpl w:val="2CE83C60"/>
    <w:lvl w:ilvl="0" w:tplc="20090001">
      <w:start w:val="1"/>
      <w:numFmt w:val="bullet"/>
      <w:lvlText w:val=""/>
      <w:lvlJc w:val="left"/>
      <w:pPr>
        <w:ind w:left="1800" w:hanging="360"/>
      </w:pPr>
      <w:rPr>
        <w:rFonts w:ascii="Symbol" w:hAnsi="Symbol"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8" w15:restartNumberingAfterBreak="0">
    <w:nsid w:val="269D7FF0"/>
    <w:multiLevelType w:val="hybridMultilevel"/>
    <w:tmpl w:val="F38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D6EFC"/>
    <w:multiLevelType w:val="hybridMultilevel"/>
    <w:tmpl w:val="1E920EAE"/>
    <w:lvl w:ilvl="0" w:tplc="C9600AA0">
      <w:numFmt w:val="bullet"/>
      <w:lvlText w:val="-"/>
      <w:lvlJc w:val="left"/>
      <w:pPr>
        <w:ind w:left="720" w:hanging="360"/>
      </w:pPr>
      <w:rPr>
        <w:rFonts w:ascii="Calibri" w:eastAsia="Times New Roman" w:hAnsi="Calibri" w:cs="Calibri" w:hint="default"/>
        <w:b/>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4127A"/>
    <w:multiLevelType w:val="hybridMultilevel"/>
    <w:tmpl w:val="9CB07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D1F3A"/>
    <w:multiLevelType w:val="hybridMultilevel"/>
    <w:tmpl w:val="D72AFB12"/>
    <w:lvl w:ilvl="0" w:tplc="5204E28C">
      <w:start w:val="1"/>
      <w:numFmt w:val="lowerLetter"/>
      <w:lvlText w:val="%1)"/>
      <w:lvlJc w:val="left"/>
      <w:pPr>
        <w:ind w:left="1080" w:hanging="360"/>
      </w:pPr>
      <w:rPr>
        <w:rFonts w:hint="default"/>
        <w:sz w:val="21"/>
      </w:rPr>
    </w:lvl>
    <w:lvl w:ilvl="1" w:tplc="FFFFFFFF">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A510A6"/>
    <w:multiLevelType w:val="hybridMultilevel"/>
    <w:tmpl w:val="4F2A6ED8"/>
    <w:lvl w:ilvl="0" w:tplc="2009000B">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 w15:restartNumberingAfterBreak="0">
    <w:nsid w:val="41FA63E1"/>
    <w:multiLevelType w:val="hybridMultilevel"/>
    <w:tmpl w:val="FC20012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15:restartNumberingAfterBreak="0">
    <w:nsid w:val="42562925"/>
    <w:multiLevelType w:val="hybridMultilevel"/>
    <w:tmpl w:val="088E9578"/>
    <w:lvl w:ilvl="0" w:tplc="22DE018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D4BED"/>
    <w:multiLevelType w:val="hybridMultilevel"/>
    <w:tmpl w:val="5CE065BE"/>
    <w:lvl w:ilvl="0" w:tplc="E4202C3C">
      <w:start w:val="1"/>
      <w:numFmt w:val="decimal"/>
      <w:lvlText w:val="%1."/>
      <w:lvlJc w:val="left"/>
      <w:pPr>
        <w:ind w:left="1800" w:hanging="360"/>
      </w:pPr>
      <w:rPr>
        <w:rFonts w:hint="default"/>
      </w:rPr>
    </w:lvl>
    <w:lvl w:ilvl="1" w:tplc="20090019" w:tentative="1">
      <w:start w:val="1"/>
      <w:numFmt w:val="lowerLetter"/>
      <w:lvlText w:val="%2."/>
      <w:lvlJc w:val="left"/>
      <w:pPr>
        <w:ind w:left="2520" w:hanging="360"/>
      </w:pPr>
    </w:lvl>
    <w:lvl w:ilvl="2" w:tplc="2009001B" w:tentative="1">
      <w:start w:val="1"/>
      <w:numFmt w:val="lowerRoman"/>
      <w:lvlText w:val="%3."/>
      <w:lvlJc w:val="right"/>
      <w:pPr>
        <w:ind w:left="3240" w:hanging="180"/>
      </w:pPr>
    </w:lvl>
    <w:lvl w:ilvl="3" w:tplc="2009000F" w:tentative="1">
      <w:start w:val="1"/>
      <w:numFmt w:val="decimal"/>
      <w:lvlText w:val="%4."/>
      <w:lvlJc w:val="left"/>
      <w:pPr>
        <w:ind w:left="3960" w:hanging="360"/>
      </w:pPr>
    </w:lvl>
    <w:lvl w:ilvl="4" w:tplc="20090019" w:tentative="1">
      <w:start w:val="1"/>
      <w:numFmt w:val="lowerLetter"/>
      <w:lvlText w:val="%5."/>
      <w:lvlJc w:val="left"/>
      <w:pPr>
        <w:ind w:left="4680" w:hanging="360"/>
      </w:pPr>
    </w:lvl>
    <w:lvl w:ilvl="5" w:tplc="2009001B" w:tentative="1">
      <w:start w:val="1"/>
      <w:numFmt w:val="lowerRoman"/>
      <w:lvlText w:val="%6."/>
      <w:lvlJc w:val="right"/>
      <w:pPr>
        <w:ind w:left="5400" w:hanging="180"/>
      </w:pPr>
    </w:lvl>
    <w:lvl w:ilvl="6" w:tplc="2009000F" w:tentative="1">
      <w:start w:val="1"/>
      <w:numFmt w:val="decimal"/>
      <w:lvlText w:val="%7."/>
      <w:lvlJc w:val="left"/>
      <w:pPr>
        <w:ind w:left="6120" w:hanging="360"/>
      </w:pPr>
    </w:lvl>
    <w:lvl w:ilvl="7" w:tplc="20090019" w:tentative="1">
      <w:start w:val="1"/>
      <w:numFmt w:val="lowerLetter"/>
      <w:lvlText w:val="%8."/>
      <w:lvlJc w:val="left"/>
      <w:pPr>
        <w:ind w:left="6840" w:hanging="360"/>
      </w:pPr>
    </w:lvl>
    <w:lvl w:ilvl="8" w:tplc="2009001B" w:tentative="1">
      <w:start w:val="1"/>
      <w:numFmt w:val="lowerRoman"/>
      <w:lvlText w:val="%9."/>
      <w:lvlJc w:val="right"/>
      <w:pPr>
        <w:ind w:left="7560" w:hanging="180"/>
      </w:pPr>
    </w:lvl>
  </w:abstractNum>
  <w:abstractNum w:abstractNumId="16" w15:restartNumberingAfterBreak="0">
    <w:nsid w:val="495B6C7B"/>
    <w:multiLevelType w:val="hybridMultilevel"/>
    <w:tmpl w:val="46D85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2523A"/>
    <w:multiLevelType w:val="hybridMultilevel"/>
    <w:tmpl w:val="8662E6AA"/>
    <w:lvl w:ilvl="0" w:tplc="2009000B">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15:restartNumberingAfterBreak="0">
    <w:nsid w:val="498121FE"/>
    <w:multiLevelType w:val="hybridMultilevel"/>
    <w:tmpl w:val="800A871C"/>
    <w:lvl w:ilvl="0" w:tplc="2009000B">
      <w:start w:val="1"/>
      <w:numFmt w:val="bullet"/>
      <w:lvlText w:val=""/>
      <w:lvlJc w:val="left"/>
      <w:pPr>
        <w:ind w:left="1440" w:hanging="360"/>
      </w:pPr>
      <w:rPr>
        <w:rFonts w:ascii="Wingdings" w:hAnsi="Wingdings"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19" w15:restartNumberingAfterBreak="0">
    <w:nsid w:val="4D1B51A4"/>
    <w:multiLevelType w:val="hybridMultilevel"/>
    <w:tmpl w:val="6C8A565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0" w15:restartNumberingAfterBreak="0">
    <w:nsid w:val="503704D2"/>
    <w:multiLevelType w:val="hybridMultilevel"/>
    <w:tmpl w:val="5E2AF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304EE"/>
    <w:multiLevelType w:val="hybridMultilevel"/>
    <w:tmpl w:val="BC68843E"/>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2" w15:restartNumberingAfterBreak="0">
    <w:nsid w:val="55B1220A"/>
    <w:multiLevelType w:val="hybridMultilevel"/>
    <w:tmpl w:val="2550E68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3" w15:restartNumberingAfterBreak="0">
    <w:nsid w:val="56147D7B"/>
    <w:multiLevelType w:val="hybridMultilevel"/>
    <w:tmpl w:val="A18CFB88"/>
    <w:lvl w:ilvl="0" w:tplc="71DC9BC4">
      <w:start w:val="1"/>
      <w:numFmt w:val="decimal"/>
      <w:lvlText w:val="%1."/>
      <w:lvlJc w:val="left"/>
      <w:pPr>
        <w:ind w:left="1636" w:hanging="360"/>
      </w:pPr>
      <w:rPr>
        <w:rFonts w:hint="default"/>
      </w:rPr>
    </w:lvl>
    <w:lvl w:ilvl="1" w:tplc="20090019" w:tentative="1">
      <w:start w:val="1"/>
      <w:numFmt w:val="lowerLetter"/>
      <w:lvlText w:val="%2."/>
      <w:lvlJc w:val="left"/>
      <w:pPr>
        <w:ind w:left="2520" w:hanging="360"/>
      </w:pPr>
    </w:lvl>
    <w:lvl w:ilvl="2" w:tplc="2009001B" w:tentative="1">
      <w:start w:val="1"/>
      <w:numFmt w:val="lowerRoman"/>
      <w:lvlText w:val="%3."/>
      <w:lvlJc w:val="right"/>
      <w:pPr>
        <w:ind w:left="3240" w:hanging="180"/>
      </w:pPr>
    </w:lvl>
    <w:lvl w:ilvl="3" w:tplc="2009000F" w:tentative="1">
      <w:start w:val="1"/>
      <w:numFmt w:val="decimal"/>
      <w:lvlText w:val="%4."/>
      <w:lvlJc w:val="left"/>
      <w:pPr>
        <w:ind w:left="3960" w:hanging="360"/>
      </w:pPr>
    </w:lvl>
    <w:lvl w:ilvl="4" w:tplc="20090019" w:tentative="1">
      <w:start w:val="1"/>
      <w:numFmt w:val="lowerLetter"/>
      <w:lvlText w:val="%5."/>
      <w:lvlJc w:val="left"/>
      <w:pPr>
        <w:ind w:left="4680" w:hanging="360"/>
      </w:pPr>
    </w:lvl>
    <w:lvl w:ilvl="5" w:tplc="2009001B" w:tentative="1">
      <w:start w:val="1"/>
      <w:numFmt w:val="lowerRoman"/>
      <w:lvlText w:val="%6."/>
      <w:lvlJc w:val="right"/>
      <w:pPr>
        <w:ind w:left="5400" w:hanging="180"/>
      </w:pPr>
    </w:lvl>
    <w:lvl w:ilvl="6" w:tplc="2009000F" w:tentative="1">
      <w:start w:val="1"/>
      <w:numFmt w:val="decimal"/>
      <w:lvlText w:val="%7."/>
      <w:lvlJc w:val="left"/>
      <w:pPr>
        <w:ind w:left="6120" w:hanging="360"/>
      </w:pPr>
    </w:lvl>
    <w:lvl w:ilvl="7" w:tplc="20090019" w:tentative="1">
      <w:start w:val="1"/>
      <w:numFmt w:val="lowerLetter"/>
      <w:lvlText w:val="%8."/>
      <w:lvlJc w:val="left"/>
      <w:pPr>
        <w:ind w:left="6840" w:hanging="360"/>
      </w:pPr>
    </w:lvl>
    <w:lvl w:ilvl="8" w:tplc="2009001B" w:tentative="1">
      <w:start w:val="1"/>
      <w:numFmt w:val="lowerRoman"/>
      <w:lvlText w:val="%9."/>
      <w:lvlJc w:val="right"/>
      <w:pPr>
        <w:ind w:left="7560" w:hanging="180"/>
      </w:pPr>
    </w:lvl>
  </w:abstractNum>
  <w:abstractNum w:abstractNumId="24" w15:restartNumberingAfterBreak="0">
    <w:nsid w:val="56E42FD9"/>
    <w:multiLevelType w:val="hybridMultilevel"/>
    <w:tmpl w:val="F12A615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5" w15:restartNumberingAfterBreak="0">
    <w:nsid w:val="5A4963C9"/>
    <w:multiLevelType w:val="hybridMultilevel"/>
    <w:tmpl w:val="FA729F22"/>
    <w:lvl w:ilvl="0" w:tplc="829E5546">
      <w:start w:val="1"/>
      <w:numFmt w:val="decimal"/>
      <w:lvlText w:val="%1."/>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149A1"/>
    <w:multiLevelType w:val="hybridMultilevel"/>
    <w:tmpl w:val="D6A03050"/>
    <w:lvl w:ilvl="0" w:tplc="B49C6640">
      <w:start w:val="1"/>
      <w:numFmt w:val="bullet"/>
      <w:lvlText w:val=""/>
      <w:lvlJc w:val="left"/>
      <w:pPr>
        <w:ind w:left="720" w:hanging="360"/>
      </w:pPr>
      <w:rPr>
        <w:rFonts w:ascii="Symbol" w:hAnsi="Symbol" w:hint="default"/>
      </w:rPr>
    </w:lvl>
    <w:lvl w:ilvl="1" w:tplc="055CE5A2">
      <w:start w:val="1"/>
      <w:numFmt w:val="bullet"/>
      <w:lvlText w:val="o"/>
      <w:lvlJc w:val="left"/>
      <w:pPr>
        <w:ind w:left="1440" w:hanging="360"/>
      </w:pPr>
      <w:rPr>
        <w:rFonts w:ascii="Courier New" w:hAnsi="Courier New" w:hint="default"/>
      </w:rPr>
    </w:lvl>
    <w:lvl w:ilvl="2" w:tplc="3138AC26">
      <w:start w:val="1"/>
      <w:numFmt w:val="bullet"/>
      <w:lvlText w:val=""/>
      <w:lvlJc w:val="left"/>
      <w:pPr>
        <w:ind w:left="2160" w:hanging="360"/>
      </w:pPr>
      <w:rPr>
        <w:rFonts w:ascii="Wingdings" w:hAnsi="Wingdings" w:hint="default"/>
      </w:rPr>
    </w:lvl>
    <w:lvl w:ilvl="3" w:tplc="AF62B32A">
      <w:start w:val="1"/>
      <w:numFmt w:val="bullet"/>
      <w:lvlText w:val=""/>
      <w:lvlJc w:val="left"/>
      <w:pPr>
        <w:ind w:left="2880" w:hanging="360"/>
      </w:pPr>
      <w:rPr>
        <w:rFonts w:ascii="Symbol" w:hAnsi="Symbol" w:hint="default"/>
      </w:rPr>
    </w:lvl>
    <w:lvl w:ilvl="4" w:tplc="EE888F44">
      <w:start w:val="1"/>
      <w:numFmt w:val="bullet"/>
      <w:lvlText w:val="o"/>
      <w:lvlJc w:val="left"/>
      <w:pPr>
        <w:ind w:left="3600" w:hanging="360"/>
      </w:pPr>
      <w:rPr>
        <w:rFonts w:ascii="Courier New" w:hAnsi="Courier New" w:hint="default"/>
      </w:rPr>
    </w:lvl>
    <w:lvl w:ilvl="5" w:tplc="93801902">
      <w:start w:val="1"/>
      <w:numFmt w:val="bullet"/>
      <w:lvlText w:val=""/>
      <w:lvlJc w:val="left"/>
      <w:pPr>
        <w:ind w:left="4320" w:hanging="360"/>
      </w:pPr>
      <w:rPr>
        <w:rFonts w:ascii="Wingdings" w:hAnsi="Wingdings" w:hint="default"/>
      </w:rPr>
    </w:lvl>
    <w:lvl w:ilvl="6" w:tplc="C964945A">
      <w:start w:val="1"/>
      <w:numFmt w:val="bullet"/>
      <w:lvlText w:val=""/>
      <w:lvlJc w:val="left"/>
      <w:pPr>
        <w:ind w:left="5040" w:hanging="360"/>
      </w:pPr>
      <w:rPr>
        <w:rFonts w:ascii="Symbol" w:hAnsi="Symbol" w:hint="default"/>
      </w:rPr>
    </w:lvl>
    <w:lvl w:ilvl="7" w:tplc="B4CC6DC8">
      <w:start w:val="1"/>
      <w:numFmt w:val="bullet"/>
      <w:lvlText w:val="o"/>
      <w:lvlJc w:val="left"/>
      <w:pPr>
        <w:ind w:left="5760" w:hanging="360"/>
      </w:pPr>
      <w:rPr>
        <w:rFonts w:ascii="Courier New" w:hAnsi="Courier New" w:hint="default"/>
      </w:rPr>
    </w:lvl>
    <w:lvl w:ilvl="8" w:tplc="3250751C">
      <w:start w:val="1"/>
      <w:numFmt w:val="bullet"/>
      <w:lvlText w:val=""/>
      <w:lvlJc w:val="left"/>
      <w:pPr>
        <w:ind w:left="6480" w:hanging="360"/>
      </w:pPr>
      <w:rPr>
        <w:rFonts w:ascii="Wingdings" w:hAnsi="Wingdings" w:hint="default"/>
      </w:rPr>
    </w:lvl>
  </w:abstractNum>
  <w:abstractNum w:abstractNumId="27" w15:restartNumberingAfterBreak="0">
    <w:nsid w:val="5EE553DB"/>
    <w:multiLevelType w:val="hybridMultilevel"/>
    <w:tmpl w:val="67D00F22"/>
    <w:lvl w:ilvl="0" w:tplc="04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8" w15:restartNumberingAfterBreak="0">
    <w:nsid w:val="624A09F7"/>
    <w:multiLevelType w:val="hybridMultilevel"/>
    <w:tmpl w:val="92BA59A4"/>
    <w:lvl w:ilvl="0" w:tplc="D3145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1B6931"/>
    <w:multiLevelType w:val="multilevel"/>
    <w:tmpl w:val="B05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8E4FDB"/>
    <w:multiLevelType w:val="hybridMultilevel"/>
    <w:tmpl w:val="1E2242A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1" w15:restartNumberingAfterBreak="0">
    <w:nsid w:val="77250867"/>
    <w:multiLevelType w:val="hybridMultilevel"/>
    <w:tmpl w:val="F680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E0AF8"/>
    <w:multiLevelType w:val="hybridMultilevel"/>
    <w:tmpl w:val="F76A3096"/>
    <w:lvl w:ilvl="0" w:tplc="3F484168">
      <w:start w:val="1"/>
      <w:numFmt w:val="decimal"/>
      <w:lvlText w:val="%1."/>
      <w:lvlJc w:val="left"/>
      <w:pPr>
        <w:ind w:left="720" w:hanging="360"/>
      </w:pPr>
    </w:lvl>
    <w:lvl w:ilvl="1" w:tplc="7EC4BD30">
      <w:start w:val="1"/>
      <w:numFmt w:val="lowerLetter"/>
      <w:lvlText w:val="%2."/>
      <w:lvlJc w:val="left"/>
      <w:pPr>
        <w:ind w:left="1440" w:hanging="360"/>
      </w:pPr>
    </w:lvl>
    <w:lvl w:ilvl="2" w:tplc="689C8600">
      <w:start w:val="1"/>
      <w:numFmt w:val="lowerRoman"/>
      <w:lvlText w:val="%3."/>
      <w:lvlJc w:val="right"/>
      <w:pPr>
        <w:ind w:left="2160" w:hanging="180"/>
      </w:pPr>
    </w:lvl>
    <w:lvl w:ilvl="3" w:tplc="10FE6382">
      <w:start w:val="1"/>
      <w:numFmt w:val="decimal"/>
      <w:lvlText w:val="%4."/>
      <w:lvlJc w:val="left"/>
      <w:pPr>
        <w:ind w:left="2880" w:hanging="360"/>
      </w:pPr>
    </w:lvl>
    <w:lvl w:ilvl="4" w:tplc="F98878A0">
      <w:start w:val="1"/>
      <w:numFmt w:val="lowerLetter"/>
      <w:lvlText w:val="%5."/>
      <w:lvlJc w:val="left"/>
      <w:pPr>
        <w:ind w:left="3600" w:hanging="360"/>
      </w:pPr>
    </w:lvl>
    <w:lvl w:ilvl="5" w:tplc="FCCCC7CA">
      <w:start w:val="1"/>
      <w:numFmt w:val="lowerRoman"/>
      <w:lvlText w:val="%6."/>
      <w:lvlJc w:val="right"/>
      <w:pPr>
        <w:ind w:left="4320" w:hanging="180"/>
      </w:pPr>
    </w:lvl>
    <w:lvl w:ilvl="6" w:tplc="031EF254">
      <w:start w:val="1"/>
      <w:numFmt w:val="decimal"/>
      <w:lvlText w:val="%7."/>
      <w:lvlJc w:val="left"/>
      <w:pPr>
        <w:ind w:left="5040" w:hanging="360"/>
      </w:pPr>
    </w:lvl>
    <w:lvl w:ilvl="7" w:tplc="40C666D6">
      <w:start w:val="1"/>
      <w:numFmt w:val="lowerLetter"/>
      <w:lvlText w:val="%8."/>
      <w:lvlJc w:val="left"/>
      <w:pPr>
        <w:ind w:left="5760" w:hanging="360"/>
      </w:pPr>
    </w:lvl>
    <w:lvl w:ilvl="8" w:tplc="97C26020">
      <w:start w:val="1"/>
      <w:numFmt w:val="lowerRoman"/>
      <w:lvlText w:val="%9."/>
      <w:lvlJc w:val="right"/>
      <w:pPr>
        <w:ind w:left="6480" w:hanging="180"/>
      </w:pPr>
    </w:lvl>
  </w:abstractNum>
  <w:abstractNum w:abstractNumId="33" w15:restartNumberingAfterBreak="0">
    <w:nsid w:val="7D41B7CE"/>
    <w:multiLevelType w:val="hybridMultilevel"/>
    <w:tmpl w:val="2C181370"/>
    <w:lvl w:ilvl="0" w:tplc="1DE4217E">
      <w:start w:val="1"/>
      <w:numFmt w:val="decimal"/>
      <w:lvlText w:val="%1."/>
      <w:lvlJc w:val="left"/>
      <w:pPr>
        <w:ind w:left="720" w:hanging="360"/>
      </w:pPr>
    </w:lvl>
    <w:lvl w:ilvl="1" w:tplc="6A744CCC">
      <w:start w:val="1"/>
      <w:numFmt w:val="lowerLetter"/>
      <w:lvlText w:val="%2."/>
      <w:lvlJc w:val="left"/>
      <w:pPr>
        <w:ind w:left="1440" w:hanging="360"/>
      </w:pPr>
    </w:lvl>
    <w:lvl w:ilvl="2" w:tplc="A16AFAE4">
      <w:start w:val="1"/>
      <w:numFmt w:val="lowerRoman"/>
      <w:lvlText w:val="%3."/>
      <w:lvlJc w:val="right"/>
      <w:pPr>
        <w:ind w:left="2160" w:hanging="180"/>
      </w:pPr>
    </w:lvl>
    <w:lvl w:ilvl="3" w:tplc="A6EE7772">
      <w:start w:val="1"/>
      <w:numFmt w:val="decimal"/>
      <w:lvlText w:val="%4."/>
      <w:lvlJc w:val="left"/>
      <w:pPr>
        <w:ind w:left="2880" w:hanging="360"/>
      </w:pPr>
    </w:lvl>
    <w:lvl w:ilvl="4" w:tplc="C1927EDC">
      <w:start w:val="1"/>
      <w:numFmt w:val="lowerLetter"/>
      <w:lvlText w:val="%5."/>
      <w:lvlJc w:val="left"/>
      <w:pPr>
        <w:ind w:left="3600" w:hanging="360"/>
      </w:pPr>
    </w:lvl>
    <w:lvl w:ilvl="5" w:tplc="548E6346">
      <w:start w:val="1"/>
      <w:numFmt w:val="lowerRoman"/>
      <w:lvlText w:val="%6."/>
      <w:lvlJc w:val="right"/>
      <w:pPr>
        <w:ind w:left="4320" w:hanging="180"/>
      </w:pPr>
    </w:lvl>
    <w:lvl w:ilvl="6" w:tplc="EF24EDAA">
      <w:start w:val="1"/>
      <w:numFmt w:val="decimal"/>
      <w:lvlText w:val="%7."/>
      <w:lvlJc w:val="left"/>
      <w:pPr>
        <w:ind w:left="5040" w:hanging="360"/>
      </w:pPr>
    </w:lvl>
    <w:lvl w:ilvl="7" w:tplc="49ACB546">
      <w:start w:val="1"/>
      <w:numFmt w:val="lowerLetter"/>
      <w:lvlText w:val="%8."/>
      <w:lvlJc w:val="left"/>
      <w:pPr>
        <w:ind w:left="5760" w:hanging="360"/>
      </w:pPr>
    </w:lvl>
    <w:lvl w:ilvl="8" w:tplc="E6CCD182">
      <w:start w:val="1"/>
      <w:numFmt w:val="lowerRoman"/>
      <w:lvlText w:val="%9."/>
      <w:lvlJc w:val="right"/>
      <w:pPr>
        <w:ind w:left="6480" w:hanging="180"/>
      </w:pPr>
    </w:lvl>
  </w:abstractNum>
  <w:abstractNum w:abstractNumId="34" w15:restartNumberingAfterBreak="0">
    <w:nsid w:val="7EEC00B8"/>
    <w:multiLevelType w:val="hybridMultilevel"/>
    <w:tmpl w:val="D92275E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5" w15:restartNumberingAfterBreak="0">
    <w:nsid w:val="7F9A7974"/>
    <w:multiLevelType w:val="hybridMultilevel"/>
    <w:tmpl w:val="469C63CC"/>
    <w:lvl w:ilvl="0" w:tplc="2862A0C6">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E600D"/>
    <w:multiLevelType w:val="multilevel"/>
    <w:tmpl w:val="5A6C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181838">
    <w:abstractNumId w:val="6"/>
  </w:num>
  <w:num w:numId="2" w16cid:durableId="1420252499">
    <w:abstractNumId w:val="33"/>
  </w:num>
  <w:num w:numId="3" w16cid:durableId="1937590082">
    <w:abstractNumId w:val="32"/>
  </w:num>
  <w:num w:numId="4" w16cid:durableId="192110434">
    <w:abstractNumId w:val="26"/>
  </w:num>
  <w:num w:numId="5" w16cid:durableId="1924220414">
    <w:abstractNumId w:val="3"/>
  </w:num>
  <w:num w:numId="6" w16cid:durableId="569923582">
    <w:abstractNumId w:val="14"/>
  </w:num>
  <w:num w:numId="7" w16cid:durableId="2041008442">
    <w:abstractNumId w:val="11"/>
  </w:num>
  <w:num w:numId="8" w16cid:durableId="1494905822">
    <w:abstractNumId w:val="28"/>
  </w:num>
  <w:num w:numId="9" w16cid:durableId="76632189">
    <w:abstractNumId w:val="10"/>
  </w:num>
  <w:num w:numId="10" w16cid:durableId="1688865758">
    <w:abstractNumId w:val="36"/>
  </w:num>
  <w:num w:numId="11" w16cid:durableId="1728258044">
    <w:abstractNumId w:val="29"/>
  </w:num>
  <w:num w:numId="12" w16cid:durableId="88158077">
    <w:abstractNumId w:val="31"/>
  </w:num>
  <w:num w:numId="13" w16cid:durableId="1985506619">
    <w:abstractNumId w:val="8"/>
  </w:num>
  <w:num w:numId="14" w16cid:durableId="694845052">
    <w:abstractNumId w:val="7"/>
  </w:num>
  <w:num w:numId="15" w16cid:durableId="192499261">
    <w:abstractNumId w:val="22"/>
  </w:num>
  <w:num w:numId="16" w16cid:durableId="1918661718">
    <w:abstractNumId w:val="4"/>
  </w:num>
  <w:num w:numId="17" w16cid:durableId="1375496076">
    <w:abstractNumId w:val="13"/>
  </w:num>
  <w:num w:numId="18" w16cid:durableId="1482456758">
    <w:abstractNumId w:val="21"/>
  </w:num>
  <w:num w:numId="19" w16cid:durableId="1214731770">
    <w:abstractNumId w:val="15"/>
  </w:num>
  <w:num w:numId="20" w16cid:durableId="2082944534">
    <w:abstractNumId w:val="23"/>
  </w:num>
  <w:num w:numId="21" w16cid:durableId="652878576">
    <w:abstractNumId w:val="30"/>
  </w:num>
  <w:num w:numId="22" w16cid:durableId="478575766">
    <w:abstractNumId w:val="24"/>
  </w:num>
  <w:num w:numId="23" w16cid:durableId="1673333105">
    <w:abstractNumId w:val="19"/>
  </w:num>
  <w:num w:numId="24" w16cid:durableId="1809543085">
    <w:abstractNumId w:val="12"/>
  </w:num>
  <w:num w:numId="25" w16cid:durableId="236716146">
    <w:abstractNumId w:val="34"/>
  </w:num>
  <w:num w:numId="26" w16cid:durableId="553276930">
    <w:abstractNumId w:val="16"/>
  </w:num>
  <w:num w:numId="27" w16cid:durableId="1701740288">
    <w:abstractNumId w:val="1"/>
  </w:num>
  <w:num w:numId="28" w16cid:durableId="719718175">
    <w:abstractNumId w:val="27"/>
  </w:num>
  <w:num w:numId="29" w16cid:durableId="1391077855">
    <w:abstractNumId w:val="0"/>
  </w:num>
  <w:num w:numId="30" w16cid:durableId="800725998">
    <w:abstractNumId w:val="2"/>
  </w:num>
  <w:num w:numId="31" w16cid:durableId="597326386">
    <w:abstractNumId w:val="9"/>
  </w:num>
  <w:num w:numId="32" w16cid:durableId="782918441">
    <w:abstractNumId w:val="35"/>
  </w:num>
  <w:num w:numId="33" w16cid:durableId="1629773730">
    <w:abstractNumId w:val="25"/>
  </w:num>
  <w:num w:numId="34" w16cid:durableId="1032532025">
    <w:abstractNumId w:val="20"/>
  </w:num>
  <w:num w:numId="35" w16cid:durableId="1306929047">
    <w:abstractNumId w:val="5"/>
  </w:num>
  <w:num w:numId="36" w16cid:durableId="1143889856">
    <w:abstractNumId w:val="18"/>
  </w:num>
  <w:num w:numId="37" w16cid:durableId="1839227787">
    <w:abstractNumId w:val="17"/>
  </w:num>
  <w:num w:numId="38" w16cid:durableId="931471566">
    <w:abstractNumId w:val="19"/>
    <w:lvlOverride w:ilvl="0"/>
    <w:lvlOverride w:ilvl="1"/>
    <w:lvlOverride w:ilvl="2"/>
    <w:lvlOverride w:ilvl="3"/>
    <w:lvlOverride w:ilvl="4"/>
    <w:lvlOverride w:ilvl="5"/>
    <w:lvlOverride w:ilvl="6"/>
    <w:lvlOverride w:ilvl="7"/>
    <w:lvlOverride w:ilvl="8"/>
  </w:num>
  <w:num w:numId="39" w16cid:durableId="209770854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B4"/>
    <w:rsid w:val="00006A73"/>
    <w:rsid w:val="000555D9"/>
    <w:rsid w:val="0006271B"/>
    <w:rsid w:val="00062C42"/>
    <w:rsid w:val="000711C0"/>
    <w:rsid w:val="00074F98"/>
    <w:rsid w:val="000837B3"/>
    <w:rsid w:val="00083DFD"/>
    <w:rsid w:val="000867C5"/>
    <w:rsid w:val="000A32B1"/>
    <w:rsid w:val="000B57AD"/>
    <w:rsid w:val="000E524F"/>
    <w:rsid w:val="000F1B6C"/>
    <w:rsid w:val="00105030"/>
    <w:rsid w:val="00106F4E"/>
    <w:rsid w:val="0011008B"/>
    <w:rsid w:val="001112FF"/>
    <w:rsid w:val="00131BF7"/>
    <w:rsid w:val="001342DA"/>
    <w:rsid w:val="00141049"/>
    <w:rsid w:val="0015652C"/>
    <w:rsid w:val="00157BB5"/>
    <w:rsid w:val="001672BF"/>
    <w:rsid w:val="00172508"/>
    <w:rsid w:val="00183CF9"/>
    <w:rsid w:val="00186C0C"/>
    <w:rsid w:val="001976C2"/>
    <w:rsid w:val="001E2BFD"/>
    <w:rsid w:val="001F7EA9"/>
    <w:rsid w:val="00224C22"/>
    <w:rsid w:val="0023333C"/>
    <w:rsid w:val="00235279"/>
    <w:rsid w:val="0023637E"/>
    <w:rsid w:val="0024467D"/>
    <w:rsid w:val="00245132"/>
    <w:rsid w:val="00247A2C"/>
    <w:rsid w:val="002536D3"/>
    <w:rsid w:val="00253866"/>
    <w:rsid w:val="00257E33"/>
    <w:rsid w:val="00291F46"/>
    <w:rsid w:val="002934FD"/>
    <w:rsid w:val="002A659A"/>
    <w:rsid w:val="002C213E"/>
    <w:rsid w:val="002D2BED"/>
    <w:rsid w:val="002E6696"/>
    <w:rsid w:val="002E7740"/>
    <w:rsid w:val="002F1F5E"/>
    <w:rsid w:val="002F6BA4"/>
    <w:rsid w:val="0031171D"/>
    <w:rsid w:val="00314623"/>
    <w:rsid w:val="00327D76"/>
    <w:rsid w:val="003333A4"/>
    <w:rsid w:val="003373CD"/>
    <w:rsid w:val="00365252"/>
    <w:rsid w:val="00373864"/>
    <w:rsid w:val="00373FB2"/>
    <w:rsid w:val="00377107"/>
    <w:rsid w:val="00377E9D"/>
    <w:rsid w:val="003804BF"/>
    <w:rsid w:val="003A2F5B"/>
    <w:rsid w:val="003A7EA2"/>
    <w:rsid w:val="003B69E8"/>
    <w:rsid w:val="003D2BA4"/>
    <w:rsid w:val="003E6F7D"/>
    <w:rsid w:val="003F6BA4"/>
    <w:rsid w:val="00400A09"/>
    <w:rsid w:val="004012B6"/>
    <w:rsid w:val="00420771"/>
    <w:rsid w:val="00421530"/>
    <w:rsid w:val="0042333D"/>
    <w:rsid w:val="00472C63"/>
    <w:rsid w:val="004837F4"/>
    <w:rsid w:val="004975BA"/>
    <w:rsid w:val="004A1CDC"/>
    <w:rsid w:val="004B54E9"/>
    <w:rsid w:val="004B569C"/>
    <w:rsid w:val="004B5D67"/>
    <w:rsid w:val="004C3041"/>
    <w:rsid w:val="004C49AF"/>
    <w:rsid w:val="004D63AA"/>
    <w:rsid w:val="004D73AE"/>
    <w:rsid w:val="004E1EAB"/>
    <w:rsid w:val="004E3BA0"/>
    <w:rsid w:val="004F424E"/>
    <w:rsid w:val="005007D4"/>
    <w:rsid w:val="0050332E"/>
    <w:rsid w:val="005108EC"/>
    <w:rsid w:val="005123B4"/>
    <w:rsid w:val="005160B4"/>
    <w:rsid w:val="005219E8"/>
    <w:rsid w:val="00531823"/>
    <w:rsid w:val="00532EF6"/>
    <w:rsid w:val="00536AE2"/>
    <w:rsid w:val="00536D93"/>
    <w:rsid w:val="00542A00"/>
    <w:rsid w:val="00566DE4"/>
    <w:rsid w:val="005823ED"/>
    <w:rsid w:val="0058282B"/>
    <w:rsid w:val="005900A0"/>
    <w:rsid w:val="00591595"/>
    <w:rsid w:val="005A4680"/>
    <w:rsid w:val="005C3224"/>
    <w:rsid w:val="005F2544"/>
    <w:rsid w:val="005F2D50"/>
    <w:rsid w:val="00634AB8"/>
    <w:rsid w:val="00641139"/>
    <w:rsid w:val="00646288"/>
    <w:rsid w:val="0065327E"/>
    <w:rsid w:val="0066249C"/>
    <w:rsid w:val="00662707"/>
    <w:rsid w:val="006630AF"/>
    <w:rsid w:val="00665AFF"/>
    <w:rsid w:val="006727E0"/>
    <w:rsid w:val="0068052F"/>
    <w:rsid w:val="00685FCA"/>
    <w:rsid w:val="006A299B"/>
    <w:rsid w:val="006C3707"/>
    <w:rsid w:val="006C6604"/>
    <w:rsid w:val="006D0FAE"/>
    <w:rsid w:val="006D6B79"/>
    <w:rsid w:val="006F6FBC"/>
    <w:rsid w:val="007039C1"/>
    <w:rsid w:val="00715616"/>
    <w:rsid w:val="00735CB7"/>
    <w:rsid w:val="0074231F"/>
    <w:rsid w:val="00744E61"/>
    <w:rsid w:val="007473E5"/>
    <w:rsid w:val="00755695"/>
    <w:rsid w:val="00756C3B"/>
    <w:rsid w:val="007619B0"/>
    <w:rsid w:val="00767BE8"/>
    <w:rsid w:val="0077464F"/>
    <w:rsid w:val="007753B0"/>
    <w:rsid w:val="007852EA"/>
    <w:rsid w:val="00785A28"/>
    <w:rsid w:val="007A2594"/>
    <w:rsid w:val="007A3E31"/>
    <w:rsid w:val="007B1498"/>
    <w:rsid w:val="007B5CDC"/>
    <w:rsid w:val="007C6252"/>
    <w:rsid w:val="007D098D"/>
    <w:rsid w:val="007D2810"/>
    <w:rsid w:val="007D2858"/>
    <w:rsid w:val="00801BCF"/>
    <w:rsid w:val="00812FAC"/>
    <w:rsid w:val="0081420F"/>
    <w:rsid w:val="008373D7"/>
    <w:rsid w:val="008410F0"/>
    <w:rsid w:val="00860E15"/>
    <w:rsid w:val="00881C2C"/>
    <w:rsid w:val="0088535E"/>
    <w:rsid w:val="00897388"/>
    <w:rsid w:val="008A5A49"/>
    <w:rsid w:val="008B6DD7"/>
    <w:rsid w:val="008C53E4"/>
    <w:rsid w:val="008E7DC0"/>
    <w:rsid w:val="008F2362"/>
    <w:rsid w:val="008F3B0A"/>
    <w:rsid w:val="00916391"/>
    <w:rsid w:val="0092094C"/>
    <w:rsid w:val="00937E51"/>
    <w:rsid w:val="00953D93"/>
    <w:rsid w:val="009927A8"/>
    <w:rsid w:val="009B3C14"/>
    <w:rsid w:val="009D0C22"/>
    <w:rsid w:val="009D2C6F"/>
    <w:rsid w:val="009E1792"/>
    <w:rsid w:val="009F4288"/>
    <w:rsid w:val="00A03D58"/>
    <w:rsid w:val="00A07334"/>
    <w:rsid w:val="00A229B0"/>
    <w:rsid w:val="00A23E94"/>
    <w:rsid w:val="00A57775"/>
    <w:rsid w:val="00A63C07"/>
    <w:rsid w:val="00A64CA1"/>
    <w:rsid w:val="00A84396"/>
    <w:rsid w:val="00A84DDC"/>
    <w:rsid w:val="00A9482B"/>
    <w:rsid w:val="00A96F7E"/>
    <w:rsid w:val="00AA4303"/>
    <w:rsid w:val="00AB325E"/>
    <w:rsid w:val="00AC0031"/>
    <w:rsid w:val="00AC318B"/>
    <w:rsid w:val="00AD4CCC"/>
    <w:rsid w:val="00AD5A08"/>
    <w:rsid w:val="00AD5B6B"/>
    <w:rsid w:val="00AE7834"/>
    <w:rsid w:val="00AF1C66"/>
    <w:rsid w:val="00AF477A"/>
    <w:rsid w:val="00B26DF7"/>
    <w:rsid w:val="00B27884"/>
    <w:rsid w:val="00B27F21"/>
    <w:rsid w:val="00B30307"/>
    <w:rsid w:val="00B30C20"/>
    <w:rsid w:val="00B32D02"/>
    <w:rsid w:val="00B35F79"/>
    <w:rsid w:val="00B402D8"/>
    <w:rsid w:val="00B5359A"/>
    <w:rsid w:val="00B645A1"/>
    <w:rsid w:val="00B64F92"/>
    <w:rsid w:val="00B7029B"/>
    <w:rsid w:val="00B72AE7"/>
    <w:rsid w:val="00B77F5E"/>
    <w:rsid w:val="00B8032C"/>
    <w:rsid w:val="00B96363"/>
    <w:rsid w:val="00BC378D"/>
    <w:rsid w:val="00BC65D7"/>
    <w:rsid w:val="00BD1CE2"/>
    <w:rsid w:val="00BE64FA"/>
    <w:rsid w:val="00BE7A03"/>
    <w:rsid w:val="00BF4B76"/>
    <w:rsid w:val="00C0078D"/>
    <w:rsid w:val="00C05A19"/>
    <w:rsid w:val="00C170D9"/>
    <w:rsid w:val="00C2386A"/>
    <w:rsid w:val="00C25F1C"/>
    <w:rsid w:val="00C36E68"/>
    <w:rsid w:val="00C3785F"/>
    <w:rsid w:val="00C44299"/>
    <w:rsid w:val="00C560A2"/>
    <w:rsid w:val="00C736AB"/>
    <w:rsid w:val="00C8150D"/>
    <w:rsid w:val="00C8412F"/>
    <w:rsid w:val="00C949D5"/>
    <w:rsid w:val="00CA7826"/>
    <w:rsid w:val="00CB5792"/>
    <w:rsid w:val="00CC1095"/>
    <w:rsid w:val="00CC2BCD"/>
    <w:rsid w:val="00CC2E82"/>
    <w:rsid w:val="00CC795B"/>
    <w:rsid w:val="00CD69CF"/>
    <w:rsid w:val="00CE5D74"/>
    <w:rsid w:val="00CE63C5"/>
    <w:rsid w:val="00CF0F47"/>
    <w:rsid w:val="00D01570"/>
    <w:rsid w:val="00D21998"/>
    <w:rsid w:val="00D22ECF"/>
    <w:rsid w:val="00D417EE"/>
    <w:rsid w:val="00D8204E"/>
    <w:rsid w:val="00DA68C0"/>
    <w:rsid w:val="00DD5034"/>
    <w:rsid w:val="00DD6C97"/>
    <w:rsid w:val="00DE3BA4"/>
    <w:rsid w:val="00DE54A9"/>
    <w:rsid w:val="00DE5774"/>
    <w:rsid w:val="00DE5AC7"/>
    <w:rsid w:val="00DE5B00"/>
    <w:rsid w:val="00DF35BC"/>
    <w:rsid w:val="00E2254B"/>
    <w:rsid w:val="00E3687E"/>
    <w:rsid w:val="00E401D2"/>
    <w:rsid w:val="00E41311"/>
    <w:rsid w:val="00E53CBF"/>
    <w:rsid w:val="00E91912"/>
    <w:rsid w:val="00E928F8"/>
    <w:rsid w:val="00EE1E56"/>
    <w:rsid w:val="00EE3BE1"/>
    <w:rsid w:val="00EF13A9"/>
    <w:rsid w:val="00EF79E1"/>
    <w:rsid w:val="00F04D0D"/>
    <w:rsid w:val="00F13BAF"/>
    <w:rsid w:val="00F148DE"/>
    <w:rsid w:val="00F530FC"/>
    <w:rsid w:val="00F53158"/>
    <w:rsid w:val="00F65EA5"/>
    <w:rsid w:val="00F8197D"/>
    <w:rsid w:val="00F973A2"/>
    <w:rsid w:val="00FA032F"/>
    <w:rsid w:val="00FA33CA"/>
    <w:rsid w:val="00FA4351"/>
    <w:rsid w:val="00FA4A96"/>
    <w:rsid w:val="00FD4E4A"/>
    <w:rsid w:val="00FE1D26"/>
    <w:rsid w:val="00FE2149"/>
    <w:rsid w:val="00FE3518"/>
    <w:rsid w:val="00FE3CB3"/>
    <w:rsid w:val="00FE5718"/>
    <w:rsid w:val="00FF1629"/>
    <w:rsid w:val="00FF6964"/>
    <w:rsid w:val="00FF6D5A"/>
    <w:rsid w:val="2A8763DD"/>
    <w:rsid w:val="76364D9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72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0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B4"/>
    <w:pPr>
      <w:ind w:left="720"/>
      <w:contextualSpacing/>
    </w:pPr>
  </w:style>
  <w:style w:type="paragraph" w:customStyle="1" w:styleId="paragraph">
    <w:name w:val="paragraph"/>
    <w:basedOn w:val="Normal"/>
    <w:rsid w:val="00516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60B4"/>
  </w:style>
  <w:style w:type="character" w:customStyle="1" w:styleId="eop">
    <w:name w:val="eop"/>
    <w:basedOn w:val="DefaultParagraphFont"/>
    <w:rsid w:val="005160B4"/>
  </w:style>
  <w:style w:type="character" w:customStyle="1" w:styleId="tabchar">
    <w:name w:val="tabchar"/>
    <w:basedOn w:val="DefaultParagraphFont"/>
    <w:rsid w:val="005160B4"/>
  </w:style>
  <w:style w:type="character" w:customStyle="1" w:styleId="scxw33361253">
    <w:name w:val="scxw33361253"/>
    <w:basedOn w:val="DefaultParagraphFont"/>
    <w:rsid w:val="005160B4"/>
  </w:style>
  <w:style w:type="paragraph" w:styleId="FootnoteText">
    <w:name w:val="footnote text"/>
    <w:basedOn w:val="Normal"/>
    <w:link w:val="FootnoteTextChar"/>
    <w:uiPriority w:val="99"/>
    <w:semiHidden/>
    <w:unhideWhenUsed/>
    <w:rsid w:val="005160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0B4"/>
    <w:rPr>
      <w:sz w:val="20"/>
      <w:szCs w:val="20"/>
      <w:lang w:val="en-US"/>
    </w:rPr>
  </w:style>
  <w:style w:type="table" w:styleId="TableGrid">
    <w:name w:val="Table Grid"/>
    <w:basedOn w:val="TableNormal"/>
    <w:rsid w:val="004F4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2707"/>
    <w:pPr>
      <w:widowControl w:val="0"/>
      <w:spacing w:after="0" w:line="240" w:lineRule="auto"/>
    </w:pPr>
    <w:rPr>
      <w:lang w:val="en-US"/>
    </w:rPr>
  </w:style>
  <w:style w:type="paragraph" w:styleId="Revision">
    <w:name w:val="Revision"/>
    <w:hidden/>
    <w:uiPriority w:val="99"/>
    <w:semiHidden/>
    <w:rsid w:val="0088535E"/>
    <w:pPr>
      <w:spacing w:after="0" w:line="240" w:lineRule="auto"/>
    </w:pPr>
    <w:rPr>
      <w:lang w:val="en-US"/>
    </w:rPr>
  </w:style>
  <w:style w:type="character" w:styleId="CommentReference">
    <w:name w:val="annotation reference"/>
    <w:basedOn w:val="DefaultParagraphFont"/>
    <w:uiPriority w:val="99"/>
    <w:semiHidden/>
    <w:unhideWhenUsed/>
    <w:rsid w:val="00C560A2"/>
    <w:rPr>
      <w:sz w:val="16"/>
      <w:szCs w:val="16"/>
    </w:rPr>
  </w:style>
  <w:style w:type="paragraph" w:styleId="CommentText">
    <w:name w:val="annotation text"/>
    <w:basedOn w:val="Normal"/>
    <w:link w:val="CommentTextChar"/>
    <w:uiPriority w:val="99"/>
    <w:semiHidden/>
    <w:unhideWhenUsed/>
    <w:rsid w:val="00C560A2"/>
    <w:pPr>
      <w:spacing w:line="240" w:lineRule="auto"/>
    </w:pPr>
    <w:rPr>
      <w:sz w:val="20"/>
      <w:szCs w:val="20"/>
    </w:rPr>
  </w:style>
  <w:style w:type="character" w:customStyle="1" w:styleId="CommentTextChar">
    <w:name w:val="Comment Text Char"/>
    <w:basedOn w:val="DefaultParagraphFont"/>
    <w:link w:val="CommentText"/>
    <w:uiPriority w:val="99"/>
    <w:semiHidden/>
    <w:rsid w:val="00C560A2"/>
    <w:rPr>
      <w:sz w:val="20"/>
      <w:szCs w:val="20"/>
      <w:lang w:val="en-US"/>
    </w:rPr>
  </w:style>
  <w:style w:type="paragraph" w:styleId="CommentSubject">
    <w:name w:val="annotation subject"/>
    <w:basedOn w:val="CommentText"/>
    <w:next w:val="CommentText"/>
    <w:link w:val="CommentSubjectChar"/>
    <w:uiPriority w:val="99"/>
    <w:semiHidden/>
    <w:unhideWhenUsed/>
    <w:rsid w:val="00C560A2"/>
    <w:rPr>
      <w:b/>
      <w:bCs/>
    </w:rPr>
  </w:style>
  <w:style w:type="character" w:customStyle="1" w:styleId="CommentSubjectChar">
    <w:name w:val="Comment Subject Char"/>
    <w:basedOn w:val="CommentTextChar"/>
    <w:link w:val="CommentSubject"/>
    <w:uiPriority w:val="99"/>
    <w:semiHidden/>
    <w:rsid w:val="00C560A2"/>
    <w:rPr>
      <w:b/>
      <w:bCs/>
      <w:sz w:val="20"/>
      <w:szCs w:val="20"/>
      <w:lang w:val="en-US"/>
    </w:rPr>
  </w:style>
  <w:style w:type="paragraph" w:styleId="Header">
    <w:name w:val="header"/>
    <w:basedOn w:val="Normal"/>
    <w:link w:val="HeaderChar"/>
    <w:uiPriority w:val="99"/>
    <w:unhideWhenUsed/>
    <w:rsid w:val="00E41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11"/>
    <w:rPr>
      <w:lang w:val="en-US"/>
    </w:rPr>
  </w:style>
  <w:style w:type="paragraph" w:styleId="Footer">
    <w:name w:val="footer"/>
    <w:basedOn w:val="Normal"/>
    <w:link w:val="FooterChar"/>
    <w:uiPriority w:val="99"/>
    <w:unhideWhenUsed/>
    <w:rsid w:val="00E41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11"/>
    <w:rPr>
      <w:lang w:val="en-US"/>
    </w:rPr>
  </w:style>
  <w:style w:type="paragraph" w:styleId="BalloonText">
    <w:name w:val="Balloon Text"/>
    <w:basedOn w:val="Normal"/>
    <w:link w:val="BalloonTextChar"/>
    <w:uiPriority w:val="99"/>
    <w:semiHidden/>
    <w:unhideWhenUsed/>
    <w:rsid w:val="00224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C22"/>
    <w:rPr>
      <w:rFonts w:ascii="Segoe UI" w:hAnsi="Segoe UI" w:cs="Segoe UI"/>
      <w:sz w:val="18"/>
      <w:szCs w:val="18"/>
      <w:lang w:val="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semiHidden/>
    <w:unhideWhenUsed/>
    <w:rsid w:val="00C05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bankj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hinkbigee@dbankjm.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thinkbigee@dbankj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E4A8098CAE3840BC88DB5B73F751D8" ma:contentTypeVersion="11" ma:contentTypeDescription="Create a new document." ma:contentTypeScope="" ma:versionID="8f3cff0171120fc5728f9b65869f8a9c">
  <xsd:schema xmlns:xsd="http://www.w3.org/2001/XMLSchema" xmlns:xs="http://www.w3.org/2001/XMLSchema" xmlns:p="http://schemas.microsoft.com/office/2006/metadata/properties" xmlns:ns3="bc362a1e-23fd-4030-8c3c-b1576942e125" xmlns:ns4="b0e5e160-7062-4c3b-ab0c-24a5bb659a9e" targetNamespace="http://schemas.microsoft.com/office/2006/metadata/properties" ma:root="true" ma:fieldsID="112b9165c8596bceb0e8d7ea9a61678e" ns3:_="" ns4:_="">
    <xsd:import namespace="bc362a1e-23fd-4030-8c3c-b1576942e125"/>
    <xsd:import namespace="b0e5e160-7062-4c3b-ab0c-24a5bb659a9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2a1e-23fd-4030-8c3c-b1576942e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5e160-7062-4c3b-ab0c-24a5bb659a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D77AE-C1C9-478C-97B1-29FADC2DCC8B}">
  <ds:schemaRefs>
    <ds:schemaRef ds:uri="http://schemas.microsoft.com/sharepoint/v3/contenttype/forms"/>
  </ds:schemaRefs>
</ds:datastoreItem>
</file>

<file path=customXml/itemProps2.xml><?xml version="1.0" encoding="utf-8"?>
<ds:datastoreItem xmlns:ds="http://schemas.openxmlformats.org/officeDocument/2006/customXml" ds:itemID="{B1AD584B-99C1-4792-990C-6478EC7B4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B45F4-7C20-4308-A1BB-45033AF81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62a1e-23fd-4030-8c3c-b1576942e125"/>
    <ds:schemaRef ds:uri="b0e5e160-7062-4c3b-ab0c-24a5bb65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2022-09-26T19:47:00Z</dcterms:created>
  <dcterms:modified xsi:type="dcterms:W3CDTF">2022-09-26T19:47:00Z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0x01010075E4A8098CAE3840BC88DB5B73F751D8</vt:lpwstr>
  </property>
</Properties>
</file>