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BABA" w14:textId="77777777" w:rsidR="00E445B8" w:rsidRPr="00E244B6" w:rsidRDefault="007C684D" w:rsidP="009D5672">
      <w:pPr>
        <w:rPr>
          <w:noProof/>
        </w:rPr>
      </w:pPr>
      <w:r>
        <w:rPr>
          <w:noProof/>
        </w:rPr>
        <w:t xml:space="preserve"> </w:t>
      </w:r>
      <w:r w:rsidR="00E445B8" w:rsidRPr="00E244B6">
        <w:rPr>
          <w:noProof/>
        </w:rPr>
        <w:t xml:space="preserve">      </w:t>
      </w:r>
    </w:p>
    <w:p w14:paraId="5CDF8A8B" w14:textId="37276AAE" w:rsidR="00E445B8" w:rsidRDefault="009D5672" w:rsidP="00E445B8">
      <w:pPr>
        <w:ind w:left="-90"/>
        <w:rPr>
          <w:noProof/>
        </w:rPr>
      </w:pPr>
      <w:r w:rsidRPr="00845CDD">
        <w:rPr>
          <w:noProof/>
          <w:lang w:val="en-JM" w:eastAsia="en-JM"/>
        </w:rPr>
        <w:drawing>
          <wp:anchor distT="0" distB="0" distL="114300" distR="114300" simplePos="0" relativeHeight="251659264" behindDoc="0" locked="0" layoutInCell="1" allowOverlap="1" wp14:anchorId="31499A49" wp14:editId="6FB0BE62">
            <wp:simplePos x="0" y="0"/>
            <wp:positionH relativeFrom="margin">
              <wp:posOffset>4160520</wp:posOffset>
            </wp:positionH>
            <wp:positionV relativeFrom="margin">
              <wp:posOffset>449580</wp:posOffset>
            </wp:positionV>
            <wp:extent cx="1935480" cy="922020"/>
            <wp:effectExtent l="0" t="0" r="7620" b="0"/>
            <wp:wrapSquare wrapText="bothSides"/>
            <wp:docPr id="367" name="Picture 367" descr="Description: C:\Users\bvirtue\AppData\Local\Temp\notes65ABD8\~468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virtue\AppData\Local\Temp\notes65ABD8\~468149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480" cy="922020"/>
                    </a:xfrm>
                    <a:prstGeom prst="rect">
                      <a:avLst/>
                    </a:prstGeom>
                    <a:noFill/>
                  </pic:spPr>
                </pic:pic>
              </a:graphicData>
            </a:graphic>
            <wp14:sizeRelH relativeFrom="margin">
              <wp14:pctWidth>0</wp14:pctWidth>
            </wp14:sizeRelH>
            <wp14:sizeRelV relativeFrom="margin">
              <wp14:pctHeight>0</wp14:pctHeight>
            </wp14:sizeRelV>
          </wp:anchor>
        </w:drawing>
      </w:r>
      <w:r w:rsidR="00E445B8" w:rsidRPr="00E244B6">
        <w:rPr>
          <w:noProof/>
        </w:rPr>
        <w:t xml:space="preserve">                    </w:t>
      </w:r>
      <w:r w:rsidRPr="00454829">
        <w:rPr>
          <w:noProof/>
          <w:sz w:val="24"/>
          <w:szCs w:val="24"/>
          <w:lang w:val="en-JM" w:eastAsia="en-JM"/>
        </w:rPr>
        <w:drawing>
          <wp:inline distT="0" distB="0" distL="0" distR="0" wp14:anchorId="3F1A3B4E" wp14:editId="6C61FF2B">
            <wp:extent cx="1158240" cy="115062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1150620"/>
                    </a:xfrm>
                    <a:prstGeom prst="rect">
                      <a:avLst/>
                    </a:prstGeom>
                    <a:noFill/>
                    <a:ln>
                      <a:noFill/>
                    </a:ln>
                  </pic:spPr>
                </pic:pic>
              </a:graphicData>
            </a:graphic>
          </wp:inline>
        </w:drawing>
      </w:r>
      <w:r w:rsidR="00E445B8" w:rsidRPr="00E244B6">
        <w:rPr>
          <w:noProof/>
        </w:rPr>
        <w:t xml:space="preserve">                                            </w:t>
      </w:r>
    </w:p>
    <w:p w14:paraId="06D2E458" w14:textId="77777777" w:rsidR="009D5672" w:rsidRPr="000C2D6C" w:rsidRDefault="009D5672" w:rsidP="00E445B8">
      <w:pPr>
        <w:ind w:left="-90"/>
        <w:rPr>
          <w:rFonts w:cstheme="minorHAnsi"/>
          <w:noProof/>
          <w:sz w:val="40"/>
          <w:szCs w:val="40"/>
        </w:rPr>
      </w:pPr>
    </w:p>
    <w:p w14:paraId="638EC262" w14:textId="53EC2E62" w:rsidR="009D5672" w:rsidRPr="000C2D6C" w:rsidRDefault="00875117" w:rsidP="009D5672">
      <w:pPr>
        <w:keepNext/>
        <w:keepLines/>
        <w:spacing w:before="240" w:after="240"/>
        <w:contextualSpacing/>
        <w:jc w:val="center"/>
        <w:outlineLvl w:val="0"/>
        <w:rPr>
          <w:rFonts w:cstheme="minorHAnsi"/>
          <w:b/>
          <w:color w:val="002060"/>
          <w:sz w:val="40"/>
          <w:szCs w:val="40"/>
        </w:rPr>
      </w:pPr>
      <w:r>
        <w:rPr>
          <w:rFonts w:cstheme="minorHAnsi"/>
          <w:b/>
          <w:color w:val="002060"/>
          <w:sz w:val="40"/>
          <w:szCs w:val="40"/>
        </w:rPr>
        <w:t>SERVE JAMAICA</w:t>
      </w:r>
    </w:p>
    <w:p w14:paraId="21F40008" w14:textId="6D1A039A" w:rsidR="00875117" w:rsidRDefault="00875117" w:rsidP="009D5672">
      <w:pPr>
        <w:tabs>
          <w:tab w:val="left" w:pos="0"/>
        </w:tabs>
        <w:jc w:val="center"/>
        <w:rPr>
          <w:rStyle w:val="BookTitle1"/>
          <w:rFonts w:cstheme="minorHAnsi"/>
          <w:color w:val="002060"/>
          <w:sz w:val="40"/>
          <w:szCs w:val="40"/>
        </w:rPr>
      </w:pPr>
      <w:r>
        <w:rPr>
          <w:rStyle w:val="BookTitle1"/>
          <w:rFonts w:cstheme="minorHAnsi"/>
          <w:color w:val="002060"/>
          <w:sz w:val="40"/>
          <w:szCs w:val="40"/>
        </w:rPr>
        <w:t>GOVERNMENT OF JAMAICA</w:t>
      </w:r>
    </w:p>
    <w:p w14:paraId="72A4A482" w14:textId="26BC541F" w:rsidR="009D5672" w:rsidRPr="000C2D6C" w:rsidRDefault="009D5672" w:rsidP="009D5672">
      <w:pPr>
        <w:tabs>
          <w:tab w:val="left" w:pos="0"/>
        </w:tabs>
        <w:jc w:val="center"/>
        <w:rPr>
          <w:rStyle w:val="BookTitle1"/>
          <w:rFonts w:cstheme="minorHAnsi"/>
          <w:b w:val="0"/>
          <w:bCs w:val="0"/>
          <w:smallCaps w:val="0"/>
          <w:noProof/>
        </w:rPr>
      </w:pPr>
      <w:r w:rsidRPr="000C2D6C">
        <w:rPr>
          <w:rStyle w:val="BookTitle1"/>
          <w:rFonts w:cstheme="minorHAnsi"/>
          <w:color w:val="002060"/>
          <w:sz w:val="40"/>
          <w:szCs w:val="40"/>
        </w:rPr>
        <w:t>Development Bank of Jamaica Limited</w:t>
      </w:r>
    </w:p>
    <w:p w14:paraId="314813C7" w14:textId="77777777" w:rsidR="009D5672" w:rsidRPr="000C2D6C" w:rsidRDefault="009D5672" w:rsidP="009D5672">
      <w:pPr>
        <w:jc w:val="center"/>
        <w:rPr>
          <w:rStyle w:val="BookTitle1"/>
          <w:rFonts w:cstheme="minorHAnsi"/>
          <w:sz w:val="40"/>
          <w:szCs w:val="40"/>
        </w:rPr>
      </w:pPr>
      <w:r w:rsidRPr="000C2D6C">
        <w:rPr>
          <w:rStyle w:val="BookTitle1"/>
          <w:rFonts w:cstheme="minorHAnsi"/>
          <w:color w:val="002060"/>
          <w:sz w:val="40"/>
          <w:szCs w:val="40"/>
        </w:rPr>
        <w:t>Call for Proposals</w:t>
      </w:r>
    </w:p>
    <w:p w14:paraId="352B7935" w14:textId="77777777" w:rsidR="009D5672" w:rsidRPr="000C2D6C" w:rsidRDefault="009D5672" w:rsidP="009D5672">
      <w:pPr>
        <w:jc w:val="center"/>
        <w:rPr>
          <w:rStyle w:val="BookTitle1"/>
          <w:rFonts w:cstheme="minorHAnsi"/>
          <w:color w:val="002060"/>
          <w:sz w:val="40"/>
          <w:szCs w:val="40"/>
        </w:rPr>
      </w:pPr>
      <w:r w:rsidRPr="000C2D6C">
        <w:rPr>
          <w:rStyle w:val="BookTitle1"/>
          <w:rFonts w:cstheme="minorHAnsi"/>
          <w:color w:val="002060"/>
          <w:sz w:val="40"/>
          <w:szCs w:val="40"/>
        </w:rPr>
        <w:t>from</w:t>
      </w:r>
    </w:p>
    <w:p w14:paraId="5FD5BDC5" w14:textId="77777777" w:rsidR="009D5672" w:rsidRPr="000C2D6C" w:rsidRDefault="009D5672" w:rsidP="009D5672">
      <w:pPr>
        <w:jc w:val="center"/>
        <w:rPr>
          <w:rStyle w:val="BookTitle1"/>
          <w:rFonts w:cstheme="minorHAnsi"/>
          <w:color w:val="002060"/>
          <w:sz w:val="40"/>
          <w:szCs w:val="40"/>
        </w:rPr>
      </w:pPr>
      <w:r w:rsidRPr="000C2D6C">
        <w:rPr>
          <w:rStyle w:val="BookTitle1"/>
          <w:rFonts w:cstheme="minorHAnsi"/>
          <w:color w:val="002060"/>
          <w:sz w:val="40"/>
          <w:szCs w:val="40"/>
        </w:rPr>
        <w:t>Local and International</w:t>
      </w:r>
    </w:p>
    <w:p w14:paraId="25DE0E67" w14:textId="77777777" w:rsidR="009D5672" w:rsidRPr="000C2D6C" w:rsidRDefault="009D5672" w:rsidP="009D5672">
      <w:pPr>
        <w:jc w:val="center"/>
        <w:rPr>
          <w:rStyle w:val="BookTitle1"/>
          <w:rFonts w:cstheme="minorHAnsi"/>
          <w:color w:val="002060"/>
          <w:sz w:val="40"/>
          <w:szCs w:val="40"/>
        </w:rPr>
      </w:pPr>
      <w:r w:rsidRPr="000C2D6C">
        <w:rPr>
          <w:rStyle w:val="BookTitle1"/>
          <w:rFonts w:cstheme="minorHAnsi"/>
          <w:color w:val="002060"/>
          <w:sz w:val="40"/>
          <w:szCs w:val="40"/>
        </w:rPr>
        <w:t xml:space="preserve"> Private Equity Funds</w:t>
      </w:r>
    </w:p>
    <w:p w14:paraId="52DB451B" w14:textId="77777777" w:rsidR="009D5672" w:rsidRPr="000C2D6C" w:rsidRDefault="009D5672" w:rsidP="009D5672">
      <w:pPr>
        <w:rPr>
          <w:rStyle w:val="BookTitle1"/>
          <w:rFonts w:cstheme="minorHAnsi"/>
          <w:color w:val="002060"/>
          <w:sz w:val="40"/>
          <w:szCs w:val="40"/>
        </w:rPr>
      </w:pPr>
      <w:r w:rsidRPr="000C2D6C">
        <w:rPr>
          <w:rFonts w:cstheme="minorHAnsi"/>
          <w:noProof/>
        </w:rPr>
        <w:t xml:space="preserve">                                                                                    </w:t>
      </w:r>
      <w:r w:rsidRPr="000C2D6C">
        <w:rPr>
          <w:rStyle w:val="BookTitle1"/>
          <w:rFonts w:cstheme="minorHAnsi"/>
          <w:color w:val="002060"/>
          <w:sz w:val="40"/>
          <w:szCs w:val="40"/>
        </w:rPr>
        <w:t xml:space="preserve"> FOR</w:t>
      </w:r>
    </w:p>
    <w:p w14:paraId="40F705C9" w14:textId="77777777" w:rsidR="009D5672" w:rsidRPr="000C2D6C" w:rsidRDefault="009D5672" w:rsidP="00E445B8">
      <w:pPr>
        <w:ind w:left="-90"/>
        <w:rPr>
          <w:rFonts w:cstheme="minorHAnsi"/>
          <w:noProof/>
        </w:rPr>
      </w:pPr>
    </w:p>
    <w:p w14:paraId="5FA5B5DA" w14:textId="0C0B8A11" w:rsidR="009D5672" w:rsidRPr="004D261B" w:rsidRDefault="009D5672" w:rsidP="00D902D2">
      <w:pPr>
        <w:pStyle w:val="Title"/>
        <w:rPr>
          <w:rFonts w:asciiTheme="minorHAnsi" w:eastAsiaTheme="minorHAnsi" w:hAnsiTheme="minorHAnsi" w:cstheme="minorHAnsi"/>
          <w:color w:val="1F3864" w:themeColor="accent1" w:themeShade="80"/>
          <w:kern w:val="0"/>
          <w:sz w:val="40"/>
          <w:szCs w:val="40"/>
        </w:rPr>
      </w:pPr>
      <w:bookmarkStart w:id="0" w:name="_Toc31010180"/>
      <w:bookmarkStart w:id="1" w:name="_Hlk26861878"/>
      <w:r w:rsidRPr="004D261B">
        <w:rPr>
          <w:rFonts w:asciiTheme="minorHAnsi" w:eastAsiaTheme="minorHAnsi" w:hAnsiTheme="minorHAnsi" w:cstheme="minorHAnsi"/>
          <w:color w:val="1F3864" w:themeColor="accent1" w:themeShade="80"/>
          <w:kern w:val="0"/>
          <w:sz w:val="40"/>
          <w:szCs w:val="40"/>
        </w:rPr>
        <w:t>Fund Manager</w:t>
      </w:r>
      <w:r w:rsidR="0007347D">
        <w:rPr>
          <w:rFonts w:asciiTheme="minorHAnsi" w:eastAsiaTheme="minorHAnsi" w:hAnsiTheme="minorHAnsi" w:cstheme="minorHAnsi"/>
          <w:color w:val="1F3864" w:themeColor="accent1" w:themeShade="80"/>
          <w:kern w:val="0"/>
          <w:sz w:val="40"/>
          <w:szCs w:val="40"/>
        </w:rPr>
        <w:t>(s)</w:t>
      </w:r>
      <w:r w:rsidRPr="004D261B">
        <w:rPr>
          <w:rFonts w:asciiTheme="minorHAnsi" w:eastAsiaTheme="minorHAnsi" w:hAnsiTheme="minorHAnsi" w:cstheme="minorHAnsi"/>
          <w:color w:val="1F3864" w:themeColor="accent1" w:themeShade="80"/>
          <w:kern w:val="0"/>
          <w:sz w:val="40"/>
          <w:szCs w:val="40"/>
        </w:rPr>
        <w:t xml:space="preserve"> for the Establishment and Management of Small and Medium Enterprises</w:t>
      </w:r>
      <w:proofErr w:type="gramStart"/>
      <w:r w:rsidRPr="004D261B">
        <w:rPr>
          <w:rFonts w:asciiTheme="minorHAnsi" w:eastAsiaTheme="minorHAnsi" w:hAnsiTheme="minorHAnsi" w:cstheme="minorHAnsi"/>
          <w:color w:val="1F3864" w:themeColor="accent1" w:themeShade="80"/>
          <w:kern w:val="0"/>
          <w:sz w:val="40"/>
          <w:szCs w:val="40"/>
        </w:rPr>
        <w:t xml:space="preserve"> </w:t>
      </w:r>
      <w:r w:rsidR="008612CF">
        <w:rPr>
          <w:rFonts w:asciiTheme="minorHAnsi" w:eastAsiaTheme="minorHAnsi" w:hAnsiTheme="minorHAnsi" w:cstheme="minorHAnsi"/>
          <w:color w:val="1F3864" w:themeColor="accent1" w:themeShade="80"/>
          <w:kern w:val="0"/>
          <w:sz w:val="40"/>
          <w:szCs w:val="40"/>
        </w:rPr>
        <w:t xml:space="preserve">  (</w:t>
      </w:r>
      <w:proofErr w:type="gramEnd"/>
      <w:r w:rsidRPr="004D261B">
        <w:rPr>
          <w:rFonts w:asciiTheme="minorHAnsi" w:eastAsiaTheme="minorHAnsi" w:hAnsiTheme="minorHAnsi" w:cstheme="minorHAnsi"/>
          <w:color w:val="1F3864" w:themeColor="accent1" w:themeShade="80"/>
          <w:kern w:val="0"/>
          <w:sz w:val="40"/>
          <w:szCs w:val="40"/>
        </w:rPr>
        <w:t>SME) Fun</w:t>
      </w:r>
      <w:bookmarkEnd w:id="0"/>
      <w:r w:rsidR="009E5A73" w:rsidRPr="004D261B">
        <w:rPr>
          <w:rFonts w:asciiTheme="minorHAnsi" w:eastAsiaTheme="minorHAnsi" w:hAnsiTheme="minorHAnsi" w:cstheme="minorHAnsi"/>
          <w:color w:val="1F3864" w:themeColor="accent1" w:themeShade="80"/>
          <w:kern w:val="0"/>
          <w:sz w:val="40"/>
          <w:szCs w:val="40"/>
        </w:rPr>
        <w:t>d</w:t>
      </w:r>
      <w:r w:rsidR="0007347D">
        <w:rPr>
          <w:rFonts w:asciiTheme="minorHAnsi" w:eastAsiaTheme="minorHAnsi" w:hAnsiTheme="minorHAnsi" w:cstheme="minorHAnsi"/>
          <w:color w:val="1F3864" w:themeColor="accent1" w:themeShade="80"/>
          <w:kern w:val="0"/>
          <w:sz w:val="40"/>
          <w:szCs w:val="40"/>
        </w:rPr>
        <w:t>(s)</w:t>
      </w:r>
    </w:p>
    <w:bookmarkEnd w:id="1"/>
    <w:p w14:paraId="733E511F" w14:textId="77777777" w:rsidR="009D5672" w:rsidRPr="00E244B6" w:rsidRDefault="009D5672" w:rsidP="00E445B8">
      <w:pPr>
        <w:ind w:left="-90"/>
        <w:rPr>
          <w:noProof/>
        </w:rPr>
      </w:pPr>
    </w:p>
    <w:p w14:paraId="38BB05CD" w14:textId="77777777" w:rsidR="00E445B8" w:rsidRPr="00E244B6" w:rsidRDefault="00E445B8" w:rsidP="00E445B8">
      <w:pPr>
        <w:ind w:left="-90"/>
        <w:rPr>
          <w:noProof/>
        </w:rPr>
      </w:pPr>
      <w:r w:rsidRPr="00E244B6">
        <w:rPr>
          <w:noProof/>
        </w:rPr>
        <w:t xml:space="preserve">                                   </w:t>
      </w:r>
    </w:p>
    <w:p w14:paraId="79DA66E8" w14:textId="77777777" w:rsidR="00E445B8" w:rsidRPr="00E244B6" w:rsidRDefault="00E445B8" w:rsidP="00E445B8">
      <w:pPr>
        <w:tabs>
          <w:tab w:val="left" w:pos="0"/>
        </w:tabs>
        <w:rPr>
          <w:noProof/>
        </w:rPr>
      </w:pPr>
      <w:r w:rsidRPr="00E244B6">
        <w:rPr>
          <w:noProof/>
        </w:rPr>
        <w:t xml:space="preserve">                                      </w:t>
      </w:r>
    </w:p>
    <w:p w14:paraId="1B10603D" w14:textId="577A7674" w:rsidR="00321E70" w:rsidRDefault="00321E70" w:rsidP="00321E70">
      <w:pPr>
        <w:ind w:left="2160"/>
        <w:jc w:val="center"/>
        <w:rPr>
          <w:rFonts w:cs="Arial"/>
          <w:b/>
          <w:sz w:val="26"/>
          <w:szCs w:val="26"/>
        </w:rPr>
      </w:pP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ab/>
        <w:t>Revised: December 22, 2021</w:t>
      </w:r>
    </w:p>
    <w:p w14:paraId="6893D00F" w14:textId="77777777" w:rsidR="00321E70" w:rsidRPr="00E244B6" w:rsidRDefault="00321E70" w:rsidP="00BA4BA5">
      <w:pPr>
        <w:jc w:val="right"/>
        <w:rPr>
          <w:rFonts w:cs="Arial"/>
          <w:b/>
          <w:sz w:val="26"/>
          <w:szCs w:val="26"/>
        </w:rPr>
      </w:pPr>
    </w:p>
    <w:p w14:paraId="23DEE05A" w14:textId="1D77E9D3" w:rsidR="00905037" w:rsidRPr="004D261B" w:rsidRDefault="00E445B8" w:rsidP="004D261B">
      <w:pPr>
        <w:rPr>
          <w:rFonts w:cs="Arial"/>
          <w:b/>
          <w:noProof/>
          <w:sz w:val="28"/>
          <w:szCs w:val="26"/>
          <w:u w:val="single"/>
        </w:rPr>
      </w:pPr>
      <w:r w:rsidRPr="000826EF">
        <w:rPr>
          <w:rFonts w:cs="Arial"/>
          <w:color w:val="1F497D"/>
          <w:sz w:val="32"/>
          <w:u w:val="single"/>
        </w:rPr>
        <w:lastRenderedPageBreak/>
        <w:t>Table of Contents</w:t>
      </w:r>
      <w:r w:rsidR="00905037">
        <w:rPr>
          <w:szCs w:val="20"/>
          <w:u w:val="single"/>
        </w:rPr>
        <w:fldChar w:fldCharType="begin"/>
      </w:r>
      <w:r w:rsidR="00905037">
        <w:rPr>
          <w:szCs w:val="20"/>
          <w:u w:val="single"/>
        </w:rPr>
        <w:instrText xml:space="preserve"> TOC \o "1-3" \h \z \u </w:instrText>
      </w:r>
      <w:r w:rsidR="00905037">
        <w:rPr>
          <w:szCs w:val="20"/>
          <w:u w:val="single"/>
        </w:rPr>
        <w:fldChar w:fldCharType="separate"/>
      </w:r>
    </w:p>
    <w:p w14:paraId="7DD6DD0D" w14:textId="705227B7" w:rsidR="00D73C5C" w:rsidRPr="00D73C5C" w:rsidRDefault="00D73C5C">
      <w:pPr>
        <w:pStyle w:val="TOC1"/>
        <w:rPr>
          <w:noProof/>
        </w:rPr>
      </w:pPr>
      <w:r w:rsidRPr="00D73C5C">
        <w:rPr>
          <w:noProof/>
        </w:rPr>
        <w:t>a,</w:t>
      </w:r>
      <w:r>
        <w:rPr>
          <w:noProof/>
        </w:rPr>
        <w:t xml:space="preserve">  </w:t>
      </w:r>
      <w:r w:rsidRPr="00D73C5C">
        <w:rPr>
          <w:noProof/>
        </w:rPr>
        <w:t xml:space="preserve"> </w:t>
      </w:r>
      <w:r>
        <w:rPr>
          <w:noProof/>
        </w:rPr>
        <w:t xml:space="preserve">       </w:t>
      </w:r>
      <w:r w:rsidRPr="00D73C5C">
        <w:rPr>
          <w:noProof/>
        </w:rPr>
        <w:t>Disclaimer</w:t>
      </w:r>
      <w:r>
        <w:rPr>
          <w:noProof/>
        </w:rPr>
        <w:t xml:space="preserve">                                                                                                                                                    3</w:t>
      </w:r>
    </w:p>
    <w:p w14:paraId="3851974A" w14:textId="1485C392" w:rsidR="00905037" w:rsidRDefault="00AB1B4E">
      <w:pPr>
        <w:pStyle w:val="TOC1"/>
        <w:rPr>
          <w:rFonts w:asciiTheme="minorHAnsi" w:eastAsiaTheme="minorEastAsia" w:hAnsiTheme="minorHAnsi" w:cstheme="minorBidi"/>
          <w:noProof/>
          <w:sz w:val="22"/>
          <w:lang w:val="en-JM" w:eastAsia="en-JM"/>
        </w:rPr>
      </w:pPr>
      <w:hyperlink w:anchor="_Toc31010181" w:history="1">
        <w:r w:rsidR="00905037" w:rsidRPr="00E0376B">
          <w:rPr>
            <w:rStyle w:val="Hyperlink"/>
            <w:noProof/>
          </w:rPr>
          <w:t>1.</w:t>
        </w:r>
        <w:r w:rsidR="00905037">
          <w:rPr>
            <w:rFonts w:asciiTheme="minorHAnsi" w:eastAsiaTheme="minorEastAsia" w:hAnsiTheme="minorHAnsi" w:cstheme="minorBidi"/>
            <w:noProof/>
            <w:sz w:val="22"/>
            <w:lang w:val="en-JM" w:eastAsia="en-JM"/>
          </w:rPr>
          <w:tab/>
        </w:r>
        <w:r w:rsidR="00905037" w:rsidRPr="00E0376B">
          <w:rPr>
            <w:rStyle w:val="Hyperlink"/>
            <w:noProof/>
          </w:rPr>
          <w:t>Introduction</w:t>
        </w:r>
        <w:r w:rsidR="00905037">
          <w:rPr>
            <w:noProof/>
            <w:webHidden/>
          </w:rPr>
          <w:tab/>
        </w:r>
        <w:r w:rsidR="00905037">
          <w:rPr>
            <w:noProof/>
            <w:webHidden/>
          </w:rPr>
          <w:fldChar w:fldCharType="begin"/>
        </w:r>
        <w:r w:rsidR="00905037">
          <w:rPr>
            <w:noProof/>
            <w:webHidden/>
          </w:rPr>
          <w:instrText xml:space="preserve"> PAGEREF _Toc31010181 \h </w:instrText>
        </w:r>
        <w:r w:rsidR="00905037">
          <w:rPr>
            <w:noProof/>
            <w:webHidden/>
          </w:rPr>
        </w:r>
        <w:r w:rsidR="00905037">
          <w:rPr>
            <w:noProof/>
            <w:webHidden/>
          </w:rPr>
          <w:fldChar w:fldCharType="separate"/>
        </w:r>
        <w:r w:rsidR="00044634">
          <w:rPr>
            <w:noProof/>
            <w:webHidden/>
          </w:rPr>
          <w:t>4</w:t>
        </w:r>
        <w:r w:rsidR="00905037">
          <w:rPr>
            <w:noProof/>
            <w:webHidden/>
          </w:rPr>
          <w:fldChar w:fldCharType="end"/>
        </w:r>
      </w:hyperlink>
    </w:p>
    <w:p w14:paraId="2D25CD5F" w14:textId="33225249" w:rsidR="00905037" w:rsidRDefault="00AB1B4E" w:rsidP="00AC2D90">
      <w:pPr>
        <w:pStyle w:val="TOC2"/>
        <w:rPr>
          <w:rFonts w:asciiTheme="minorHAnsi" w:eastAsiaTheme="minorEastAsia" w:hAnsiTheme="minorHAnsi" w:cstheme="minorBidi"/>
          <w:sz w:val="22"/>
          <w:lang w:val="en-JM" w:eastAsia="en-JM"/>
        </w:rPr>
      </w:pPr>
      <w:hyperlink w:anchor="_Toc31010182" w:history="1">
        <w:r w:rsidR="00905037" w:rsidRPr="00E0376B">
          <w:rPr>
            <w:rStyle w:val="Hyperlink"/>
            <w:rFonts w:ascii="Georgia" w:hAnsi="Georgia"/>
          </w:rPr>
          <w:t>1.1</w:t>
        </w:r>
        <w:r w:rsidR="00905037">
          <w:rPr>
            <w:rFonts w:asciiTheme="minorHAnsi" w:eastAsiaTheme="minorEastAsia" w:hAnsiTheme="minorHAnsi" w:cstheme="minorBidi"/>
            <w:sz w:val="22"/>
            <w:lang w:val="en-JM" w:eastAsia="en-JM"/>
          </w:rPr>
          <w:tab/>
        </w:r>
        <w:r w:rsidR="00905037" w:rsidRPr="00E0376B">
          <w:rPr>
            <w:rStyle w:val="Hyperlink"/>
          </w:rPr>
          <w:t>Purpose of the Call for Proposals (CFP)</w:t>
        </w:r>
        <w:r w:rsidR="00905037">
          <w:rPr>
            <w:webHidden/>
          </w:rPr>
          <w:tab/>
        </w:r>
        <w:r w:rsidR="00905037">
          <w:rPr>
            <w:webHidden/>
          </w:rPr>
          <w:fldChar w:fldCharType="begin"/>
        </w:r>
        <w:r w:rsidR="00905037">
          <w:rPr>
            <w:webHidden/>
          </w:rPr>
          <w:instrText xml:space="preserve"> PAGEREF _Toc31010182 \h </w:instrText>
        </w:r>
        <w:r w:rsidR="00905037">
          <w:rPr>
            <w:webHidden/>
          </w:rPr>
        </w:r>
        <w:r w:rsidR="00905037">
          <w:rPr>
            <w:webHidden/>
          </w:rPr>
          <w:fldChar w:fldCharType="separate"/>
        </w:r>
        <w:r w:rsidR="00044634">
          <w:rPr>
            <w:webHidden/>
          </w:rPr>
          <w:t>4</w:t>
        </w:r>
        <w:r w:rsidR="00905037">
          <w:rPr>
            <w:webHidden/>
          </w:rPr>
          <w:fldChar w:fldCharType="end"/>
        </w:r>
      </w:hyperlink>
    </w:p>
    <w:p w14:paraId="1E448709" w14:textId="25C438C2" w:rsidR="00905037" w:rsidRDefault="00AB1B4E" w:rsidP="00AC2D90">
      <w:pPr>
        <w:pStyle w:val="TOC2"/>
        <w:rPr>
          <w:rFonts w:asciiTheme="minorHAnsi" w:eastAsiaTheme="minorEastAsia" w:hAnsiTheme="minorHAnsi" w:cstheme="minorBidi"/>
          <w:sz w:val="22"/>
          <w:lang w:val="en-JM" w:eastAsia="en-JM"/>
        </w:rPr>
      </w:pPr>
      <w:hyperlink w:anchor="_Toc31010183" w:history="1">
        <w:r w:rsidR="00905037" w:rsidRPr="00E0376B">
          <w:rPr>
            <w:rStyle w:val="Hyperlink"/>
            <w:rFonts w:ascii="Georgia" w:hAnsi="Georgia"/>
          </w:rPr>
          <w:t>1.2</w:t>
        </w:r>
        <w:r w:rsidR="00905037">
          <w:rPr>
            <w:rFonts w:asciiTheme="minorHAnsi" w:eastAsiaTheme="minorEastAsia" w:hAnsiTheme="minorHAnsi" w:cstheme="minorBidi"/>
            <w:sz w:val="22"/>
            <w:lang w:val="en-JM" w:eastAsia="en-JM"/>
          </w:rPr>
          <w:tab/>
        </w:r>
        <w:r w:rsidR="00905037" w:rsidRPr="00E0376B">
          <w:rPr>
            <w:rStyle w:val="Hyperlink"/>
          </w:rPr>
          <w:t>Eligibility of Applicants</w:t>
        </w:r>
        <w:r w:rsidR="00905037">
          <w:rPr>
            <w:webHidden/>
          </w:rPr>
          <w:tab/>
        </w:r>
        <w:r w:rsidR="00905037">
          <w:rPr>
            <w:webHidden/>
          </w:rPr>
          <w:fldChar w:fldCharType="begin"/>
        </w:r>
        <w:r w:rsidR="00905037">
          <w:rPr>
            <w:webHidden/>
          </w:rPr>
          <w:instrText xml:space="preserve"> PAGEREF _Toc31010183 \h </w:instrText>
        </w:r>
        <w:r w:rsidR="00905037">
          <w:rPr>
            <w:webHidden/>
          </w:rPr>
        </w:r>
        <w:r w:rsidR="00905037">
          <w:rPr>
            <w:webHidden/>
          </w:rPr>
          <w:fldChar w:fldCharType="separate"/>
        </w:r>
        <w:r w:rsidR="00044634">
          <w:rPr>
            <w:webHidden/>
          </w:rPr>
          <w:t>4</w:t>
        </w:r>
        <w:r w:rsidR="00905037">
          <w:rPr>
            <w:webHidden/>
          </w:rPr>
          <w:fldChar w:fldCharType="end"/>
        </w:r>
      </w:hyperlink>
    </w:p>
    <w:p w14:paraId="45FD2FB9" w14:textId="7D2E5B54" w:rsidR="00905037" w:rsidRDefault="00AB1B4E" w:rsidP="00AC2D90">
      <w:pPr>
        <w:pStyle w:val="TOC2"/>
        <w:rPr>
          <w:rFonts w:asciiTheme="minorHAnsi" w:eastAsiaTheme="minorEastAsia" w:hAnsiTheme="minorHAnsi" w:cstheme="minorBidi"/>
          <w:sz w:val="22"/>
          <w:lang w:val="en-JM" w:eastAsia="en-JM"/>
        </w:rPr>
      </w:pPr>
      <w:hyperlink w:anchor="_Toc31010184" w:history="1">
        <w:r w:rsidR="00905037" w:rsidRPr="00E0376B">
          <w:rPr>
            <w:rStyle w:val="Hyperlink"/>
            <w:rFonts w:ascii="Georgia" w:hAnsi="Georgia"/>
          </w:rPr>
          <w:t>1.3</w:t>
        </w:r>
        <w:r w:rsidR="00905037">
          <w:rPr>
            <w:rFonts w:asciiTheme="minorHAnsi" w:eastAsiaTheme="minorEastAsia" w:hAnsiTheme="minorHAnsi" w:cstheme="minorBidi"/>
            <w:sz w:val="22"/>
            <w:lang w:val="en-JM" w:eastAsia="en-JM"/>
          </w:rPr>
          <w:tab/>
        </w:r>
        <w:r w:rsidR="00905037" w:rsidRPr="00E0376B">
          <w:rPr>
            <w:rStyle w:val="Hyperlink"/>
          </w:rPr>
          <w:t>Background</w:t>
        </w:r>
        <w:r w:rsidR="00905037">
          <w:rPr>
            <w:webHidden/>
          </w:rPr>
          <w:tab/>
        </w:r>
        <w:r w:rsidR="00905037">
          <w:rPr>
            <w:webHidden/>
          </w:rPr>
          <w:fldChar w:fldCharType="begin"/>
        </w:r>
        <w:r w:rsidR="00905037">
          <w:rPr>
            <w:webHidden/>
          </w:rPr>
          <w:instrText xml:space="preserve"> PAGEREF _Toc31010184 \h </w:instrText>
        </w:r>
        <w:r w:rsidR="00905037">
          <w:rPr>
            <w:webHidden/>
          </w:rPr>
        </w:r>
        <w:r w:rsidR="00905037">
          <w:rPr>
            <w:webHidden/>
          </w:rPr>
          <w:fldChar w:fldCharType="separate"/>
        </w:r>
        <w:r w:rsidR="00044634">
          <w:rPr>
            <w:webHidden/>
          </w:rPr>
          <w:t>5</w:t>
        </w:r>
        <w:r w:rsidR="00905037">
          <w:rPr>
            <w:webHidden/>
          </w:rPr>
          <w:fldChar w:fldCharType="end"/>
        </w:r>
      </w:hyperlink>
    </w:p>
    <w:p w14:paraId="1D1CA2AD" w14:textId="28158C8A" w:rsidR="00905037" w:rsidRDefault="004D261B" w:rsidP="00AC2D90">
      <w:pPr>
        <w:pStyle w:val="TOC2"/>
        <w:rPr>
          <w:rFonts w:asciiTheme="minorHAnsi" w:eastAsiaTheme="minorEastAsia" w:hAnsiTheme="minorHAnsi" w:cstheme="minorBidi"/>
          <w:sz w:val="22"/>
          <w:lang w:val="en-JM" w:eastAsia="en-JM"/>
        </w:rPr>
      </w:pPr>
      <w:r>
        <w:t xml:space="preserve">1.4   </w:t>
      </w:r>
      <w:hyperlink w:anchor="_Toc31010185" w:history="1">
        <w:r w:rsidR="00905037" w:rsidRPr="00E0376B">
          <w:rPr>
            <w:rStyle w:val="Hyperlink"/>
          </w:rPr>
          <w:t>O</w:t>
        </w:r>
        <w:r>
          <w:rPr>
            <w:rStyle w:val="Hyperlink"/>
          </w:rPr>
          <w:t>bjectives and</w:t>
        </w:r>
        <w:r w:rsidR="00905037" w:rsidRPr="00E0376B">
          <w:rPr>
            <w:rStyle w:val="Hyperlink"/>
          </w:rPr>
          <w:t xml:space="preserve"> F</w:t>
        </w:r>
        <w:r>
          <w:rPr>
            <w:rStyle w:val="Hyperlink"/>
          </w:rPr>
          <w:t>eatures of the SME</w:t>
        </w:r>
        <w:r w:rsidR="00905037" w:rsidRPr="00E0376B">
          <w:rPr>
            <w:rStyle w:val="Hyperlink"/>
          </w:rPr>
          <w:t xml:space="preserve">  F</w:t>
        </w:r>
        <w:r>
          <w:rPr>
            <w:rStyle w:val="Hyperlink"/>
          </w:rPr>
          <w:t>und</w:t>
        </w:r>
        <w:r w:rsidR="00905037">
          <w:rPr>
            <w:webHidden/>
          </w:rPr>
          <w:tab/>
        </w:r>
        <w:r w:rsidR="00905037">
          <w:rPr>
            <w:webHidden/>
          </w:rPr>
          <w:fldChar w:fldCharType="begin"/>
        </w:r>
        <w:r w:rsidR="00905037">
          <w:rPr>
            <w:webHidden/>
          </w:rPr>
          <w:instrText xml:space="preserve"> PAGEREF _Toc31010185 \h </w:instrText>
        </w:r>
        <w:r w:rsidR="00905037">
          <w:rPr>
            <w:webHidden/>
          </w:rPr>
        </w:r>
        <w:r w:rsidR="00905037">
          <w:rPr>
            <w:webHidden/>
          </w:rPr>
          <w:fldChar w:fldCharType="separate"/>
        </w:r>
        <w:r w:rsidR="00044634">
          <w:rPr>
            <w:webHidden/>
          </w:rPr>
          <w:t>6</w:t>
        </w:r>
        <w:r w:rsidR="00905037">
          <w:rPr>
            <w:webHidden/>
          </w:rPr>
          <w:fldChar w:fldCharType="end"/>
        </w:r>
      </w:hyperlink>
    </w:p>
    <w:p w14:paraId="6E9991D9" w14:textId="43B17026" w:rsidR="00905037" w:rsidRDefault="00AB1B4E">
      <w:pPr>
        <w:pStyle w:val="TOC1"/>
        <w:rPr>
          <w:rFonts w:asciiTheme="minorHAnsi" w:eastAsiaTheme="minorEastAsia" w:hAnsiTheme="minorHAnsi" w:cstheme="minorBidi"/>
          <w:noProof/>
          <w:sz w:val="22"/>
          <w:lang w:val="en-JM" w:eastAsia="en-JM"/>
        </w:rPr>
      </w:pPr>
      <w:hyperlink w:anchor="_Toc31010186" w:history="1">
        <w:r w:rsidR="00905037" w:rsidRPr="00E0376B">
          <w:rPr>
            <w:rStyle w:val="Hyperlink"/>
            <w:noProof/>
          </w:rPr>
          <w:t>2.</w:t>
        </w:r>
        <w:r w:rsidR="00905037">
          <w:rPr>
            <w:rFonts w:asciiTheme="minorHAnsi" w:eastAsiaTheme="minorEastAsia" w:hAnsiTheme="minorHAnsi" w:cstheme="minorBidi"/>
            <w:noProof/>
            <w:sz w:val="22"/>
            <w:lang w:val="en-JM" w:eastAsia="en-JM"/>
          </w:rPr>
          <w:tab/>
        </w:r>
        <w:r w:rsidR="00905037" w:rsidRPr="00E0376B">
          <w:rPr>
            <w:rStyle w:val="Hyperlink"/>
            <w:noProof/>
          </w:rPr>
          <w:t>Proposal Presentation</w:t>
        </w:r>
        <w:r w:rsidR="00905037">
          <w:rPr>
            <w:noProof/>
            <w:webHidden/>
          </w:rPr>
          <w:tab/>
        </w:r>
        <w:r w:rsidR="00905037">
          <w:rPr>
            <w:noProof/>
            <w:webHidden/>
          </w:rPr>
          <w:fldChar w:fldCharType="begin"/>
        </w:r>
        <w:r w:rsidR="00905037">
          <w:rPr>
            <w:noProof/>
            <w:webHidden/>
          </w:rPr>
          <w:instrText xml:space="preserve"> PAGEREF _Toc31010186 \h </w:instrText>
        </w:r>
        <w:r w:rsidR="00905037">
          <w:rPr>
            <w:noProof/>
            <w:webHidden/>
          </w:rPr>
        </w:r>
        <w:r w:rsidR="00905037">
          <w:rPr>
            <w:noProof/>
            <w:webHidden/>
          </w:rPr>
          <w:fldChar w:fldCharType="separate"/>
        </w:r>
        <w:r w:rsidR="00044634">
          <w:rPr>
            <w:noProof/>
            <w:webHidden/>
          </w:rPr>
          <w:t>10</w:t>
        </w:r>
        <w:r w:rsidR="00905037">
          <w:rPr>
            <w:noProof/>
            <w:webHidden/>
          </w:rPr>
          <w:fldChar w:fldCharType="end"/>
        </w:r>
      </w:hyperlink>
    </w:p>
    <w:p w14:paraId="147D2B38" w14:textId="6825F35E" w:rsidR="00905037" w:rsidRDefault="00AB1B4E" w:rsidP="00AC2D90">
      <w:pPr>
        <w:pStyle w:val="TOC2"/>
        <w:rPr>
          <w:rFonts w:asciiTheme="minorHAnsi" w:eastAsiaTheme="minorEastAsia" w:hAnsiTheme="minorHAnsi" w:cstheme="minorBidi"/>
          <w:sz w:val="22"/>
          <w:lang w:val="en-JM" w:eastAsia="en-JM"/>
        </w:rPr>
      </w:pPr>
      <w:hyperlink w:anchor="_Toc31010187" w:history="1">
        <w:r w:rsidR="00905037" w:rsidRPr="00E0376B">
          <w:rPr>
            <w:rStyle w:val="Hyperlink"/>
            <w:rFonts w:ascii="Georgia" w:hAnsi="Georgia"/>
          </w:rPr>
          <w:t>2.1</w:t>
        </w:r>
        <w:r w:rsidR="00905037">
          <w:rPr>
            <w:rFonts w:asciiTheme="minorHAnsi" w:eastAsiaTheme="minorEastAsia" w:hAnsiTheme="minorHAnsi" w:cstheme="minorBidi"/>
            <w:sz w:val="22"/>
            <w:lang w:val="en-JM" w:eastAsia="en-JM"/>
          </w:rPr>
          <w:tab/>
        </w:r>
        <w:r w:rsidR="00905037" w:rsidRPr="00E0376B">
          <w:rPr>
            <w:rStyle w:val="Hyperlink"/>
          </w:rPr>
          <w:t>Executive Summary</w:t>
        </w:r>
        <w:r w:rsidR="00905037">
          <w:rPr>
            <w:webHidden/>
          </w:rPr>
          <w:tab/>
        </w:r>
        <w:r w:rsidR="00905037">
          <w:rPr>
            <w:webHidden/>
          </w:rPr>
          <w:fldChar w:fldCharType="begin"/>
        </w:r>
        <w:r w:rsidR="00905037">
          <w:rPr>
            <w:webHidden/>
          </w:rPr>
          <w:instrText xml:space="preserve"> PAGEREF _Toc31010187 \h </w:instrText>
        </w:r>
        <w:r w:rsidR="00905037">
          <w:rPr>
            <w:webHidden/>
          </w:rPr>
        </w:r>
        <w:r w:rsidR="00905037">
          <w:rPr>
            <w:webHidden/>
          </w:rPr>
          <w:fldChar w:fldCharType="separate"/>
        </w:r>
        <w:r w:rsidR="00044634">
          <w:rPr>
            <w:webHidden/>
          </w:rPr>
          <w:t>10</w:t>
        </w:r>
        <w:r w:rsidR="00905037">
          <w:rPr>
            <w:webHidden/>
          </w:rPr>
          <w:fldChar w:fldCharType="end"/>
        </w:r>
      </w:hyperlink>
    </w:p>
    <w:p w14:paraId="20EFC0B6" w14:textId="103FD92E" w:rsidR="00905037" w:rsidRDefault="00AB1B4E" w:rsidP="00AC2D90">
      <w:pPr>
        <w:pStyle w:val="TOC2"/>
        <w:rPr>
          <w:rFonts w:asciiTheme="minorHAnsi" w:eastAsiaTheme="minorEastAsia" w:hAnsiTheme="minorHAnsi" w:cstheme="minorBidi"/>
          <w:sz w:val="22"/>
          <w:lang w:val="en-JM" w:eastAsia="en-JM"/>
        </w:rPr>
      </w:pPr>
      <w:hyperlink w:anchor="_Toc31010188" w:history="1">
        <w:r w:rsidR="00905037" w:rsidRPr="00E0376B">
          <w:rPr>
            <w:rStyle w:val="Hyperlink"/>
            <w:rFonts w:ascii="Georgia" w:hAnsi="Georgia"/>
          </w:rPr>
          <w:t>2.2</w:t>
        </w:r>
        <w:r w:rsidR="00905037">
          <w:rPr>
            <w:rFonts w:asciiTheme="minorHAnsi" w:eastAsiaTheme="minorEastAsia" w:hAnsiTheme="minorHAnsi" w:cstheme="minorBidi"/>
            <w:sz w:val="22"/>
            <w:lang w:val="en-JM" w:eastAsia="en-JM"/>
          </w:rPr>
          <w:tab/>
        </w:r>
        <w:r w:rsidR="00905037" w:rsidRPr="00E0376B">
          <w:rPr>
            <w:rStyle w:val="Hyperlink"/>
          </w:rPr>
          <w:t>Detailed Information Required for the Investor Panel’s Analysis of the Proposal</w:t>
        </w:r>
        <w:r w:rsidR="00905037">
          <w:rPr>
            <w:webHidden/>
          </w:rPr>
          <w:tab/>
        </w:r>
        <w:r w:rsidR="00905037">
          <w:rPr>
            <w:webHidden/>
          </w:rPr>
          <w:fldChar w:fldCharType="begin"/>
        </w:r>
        <w:r w:rsidR="00905037">
          <w:rPr>
            <w:webHidden/>
          </w:rPr>
          <w:instrText xml:space="preserve"> PAGEREF _Toc31010188 \h </w:instrText>
        </w:r>
        <w:r w:rsidR="00905037">
          <w:rPr>
            <w:webHidden/>
          </w:rPr>
        </w:r>
        <w:r w:rsidR="00905037">
          <w:rPr>
            <w:webHidden/>
          </w:rPr>
          <w:fldChar w:fldCharType="separate"/>
        </w:r>
        <w:r w:rsidR="00044634">
          <w:rPr>
            <w:webHidden/>
          </w:rPr>
          <w:t>11</w:t>
        </w:r>
        <w:r w:rsidR="00905037">
          <w:rPr>
            <w:webHidden/>
          </w:rPr>
          <w:fldChar w:fldCharType="end"/>
        </w:r>
      </w:hyperlink>
    </w:p>
    <w:p w14:paraId="28C0D6E4" w14:textId="28ECFB85" w:rsidR="00905037" w:rsidRDefault="00AB1B4E" w:rsidP="00AC2D90">
      <w:pPr>
        <w:pStyle w:val="TOC2"/>
        <w:rPr>
          <w:rFonts w:asciiTheme="minorHAnsi" w:eastAsiaTheme="minorEastAsia" w:hAnsiTheme="minorHAnsi" w:cstheme="minorBidi"/>
          <w:sz w:val="22"/>
          <w:lang w:val="en-JM" w:eastAsia="en-JM"/>
        </w:rPr>
      </w:pPr>
      <w:hyperlink w:anchor="_Toc31010189" w:history="1">
        <w:r w:rsidR="00905037" w:rsidRPr="00E0376B">
          <w:rPr>
            <w:rStyle w:val="Hyperlink"/>
            <w:rFonts w:ascii="Georgia" w:eastAsia="MS Mincho" w:hAnsi="Georgia" w:cs="Arial"/>
          </w:rPr>
          <w:t>2.3</w:t>
        </w:r>
        <w:r w:rsidR="00905037">
          <w:rPr>
            <w:rFonts w:asciiTheme="minorHAnsi" w:eastAsiaTheme="minorEastAsia" w:hAnsiTheme="minorHAnsi" w:cstheme="minorBidi"/>
            <w:sz w:val="22"/>
            <w:lang w:val="en-JM" w:eastAsia="en-JM"/>
          </w:rPr>
          <w:tab/>
        </w:r>
        <w:r w:rsidR="00905037" w:rsidRPr="00E0376B">
          <w:rPr>
            <w:rStyle w:val="Hyperlink"/>
          </w:rPr>
          <w:t>Deadline &amp; Submission Method for Proposals</w:t>
        </w:r>
        <w:r w:rsidR="00905037">
          <w:rPr>
            <w:webHidden/>
          </w:rPr>
          <w:tab/>
        </w:r>
        <w:r w:rsidR="00905037">
          <w:rPr>
            <w:webHidden/>
          </w:rPr>
          <w:fldChar w:fldCharType="begin"/>
        </w:r>
        <w:r w:rsidR="00905037">
          <w:rPr>
            <w:webHidden/>
          </w:rPr>
          <w:instrText xml:space="preserve"> PAGEREF _Toc31010189 \h </w:instrText>
        </w:r>
        <w:r w:rsidR="00905037">
          <w:rPr>
            <w:webHidden/>
          </w:rPr>
        </w:r>
        <w:r w:rsidR="00905037">
          <w:rPr>
            <w:webHidden/>
          </w:rPr>
          <w:fldChar w:fldCharType="separate"/>
        </w:r>
        <w:r w:rsidR="00044634">
          <w:rPr>
            <w:webHidden/>
          </w:rPr>
          <w:t>12</w:t>
        </w:r>
        <w:r w:rsidR="00905037">
          <w:rPr>
            <w:webHidden/>
          </w:rPr>
          <w:fldChar w:fldCharType="end"/>
        </w:r>
      </w:hyperlink>
    </w:p>
    <w:p w14:paraId="0900BB54" w14:textId="2F989061" w:rsidR="00905037" w:rsidRDefault="00AB1B4E" w:rsidP="00AC2D90">
      <w:pPr>
        <w:pStyle w:val="TOC2"/>
        <w:rPr>
          <w:rFonts w:asciiTheme="minorHAnsi" w:eastAsiaTheme="minorEastAsia" w:hAnsiTheme="minorHAnsi" w:cstheme="minorBidi"/>
          <w:sz w:val="22"/>
          <w:lang w:val="en-JM" w:eastAsia="en-JM"/>
        </w:rPr>
      </w:pPr>
      <w:hyperlink w:anchor="_Toc31010190" w:history="1">
        <w:r w:rsidR="00905037" w:rsidRPr="00E0376B">
          <w:rPr>
            <w:rStyle w:val="Hyperlink"/>
            <w:rFonts w:ascii="Georgia" w:eastAsia="MS Mincho" w:hAnsi="Georgia" w:cs="Arial"/>
          </w:rPr>
          <w:t>2.4</w:t>
        </w:r>
        <w:r w:rsidR="00905037">
          <w:rPr>
            <w:rFonts w:asciiTheme="minorHAnsi" w:eastAsiaTheme="minorEastAsia" w:hAnsiTheme="minorHAnsi" w:cstheme="minorBidi"/>
            <w:sz w:val="22"/>
            <w:lang w:val="en-JM" w:eastAsia="en-JM"/>
          </w:rPr>
          <w:tab/>
        </w:r>
        <w:r w:rsidR="00905037" w:rsidRPr="00E0376B">
          <w:rPr>
            <w:rStyle w:val="Hyperlink"/>
          </w:rPr>
          <w:t>Confidentiality</w:t>
        </w:r>
        <w:r w:rsidR="00905037">
          <w:rPr>
            <w:webHidden/>
          </w:rPr>
          <w:tab/>
        </w:r>
        <w:r w:rsidR="00905037">
          <w:rPr>
            <w:webHidden/>
          </w:rPr>
          <w:fldChar w:fldCharType="begin"/>
        </w:r>
        <w:r w:rsidR="00905037">
          <w:rPr>
            <w:webHidden/>
          </w:rPr>
          <w:instrText xml:space="preserve"> PAGEREF _Toc31010190 \h </w:instrText>
        </w:r>
        <w:r w:rsidR="00905037">
          <w:rPr>
            <w:webHidden/>
          </w:rPr>
        </w:r>
        <w:r w:rsidR="00905037">
          <w:rPr>
            <w:webHidden/>
          </w:rPr>
          <w:fldChar w:fldCharType="separate"/>
        </w:r>
        <w:r w:rsidR="00044634">
          <w:rPr>
            <w:webHidden/>
          </w:rPr>
          <w:t>13</w:t>
        </w:r>
        <w:r w:rsidR="00905037">
          <w:rPr>
            <w:webHidden/>
          </w:rPr>
          <w:fldChar w:fldCharType="end"/>
        </w:r>
      </w:hyperlink>
    </w:p>
    <w:p w14:paraId="7C1F3877" w14:textId="71B1C745" w:rsidR="00905037" w:rsidRDefault="00AB1B4E">
      <w:pPr>
        <w:pStyle w:val="TOC1"/>
        <w:rPr>
          <w:rFonts w:asciiTheme="minorHAnsi" w:eastAsiaTheme="minorEastAsia" w:hAnsiTheme="minorHAnsi" w:cstheme="minorBidi"/>
          <w:noProof/>
          <w:sz w:val="22"/>
          <w:lang w:val="en-JM" w:eastAsia="en-JM"/>
        </w:rPr>
      </w:pPr>
      <w:hyperlink w:anchor="_Toc31010191" w:history="1">
        <w:r w:rsidR="00905037" w:rsidRPr="00E0376B">
          <w:rPr>
            <w:rStyle w:val="Hyperlink"/>
            <w:noProof/>
          </w:rPr>
          <w:t>3</w:t>
        </w:r>
        <w:r w:rsidR="00905037">
          <w:rPr>
            <w:rFonts w:asciiTheme="minorHAnsi" w:eastAsiaTheme="minorEastAsia" w:hAnsiTheme="minorHAnsi" w:cstheme="minorBidi"/>
            <w:noProof/>
            <w:sz w:val="22"/>
            <w:lang w:val="en-JM" w:eastAsia="en-JM"/>
          </w:rPr>
          <w:tab/>
        </w:r>
        <w:r w:rsidR="00905037" w:rsidRPr="00E0376B">
          <w:rPr>
            <w:rStyle w:val="Hyperlink"/>
            <w:noProof/>
          </w:rPr>
          <w:t>Evaluation Process</w:t>
        </w:r>
        <w:r w:rsidR="00905037">
          <w:rPr>
            <w:noProof/>
            <w:webHidden/>
          </w:rPr>
          <w:tab/>
        </w:r>
        <w:r w:rsidR="00905037">
          <w:rPr>
            <w:noProof/>
            <w:webHidden/>
          </w:rPr>
          <w:fldChar w:fldCharType="begin"/>
        </w:r>
        <w:r w:rsidR="00905037">
          <w:rPr>
            <w:noProof/>
            <w:webHidden/>
          </w:rPr>
          <w:instrText xml:space="preserve"> PAGEREF _Toc31010191 \h </w:instrText>
        </w:r>
        <w:r w:rsidR="00905037">
          <w:rPr>
            <w:noProof/>
            <w:webHidden/>
          </w:rPr>
        </w:r>
        <w:r w:rsidR="00905037">
          <w:rPr>
            <w:noProof/>
            <w:webHidden/>
          </w:rPr>
          <w:fldChar w:fldCharType="separate"/>
        </w:r>
        <w:r w:rsidR="00044634">
          <w:rPr>
            <w:noProof/>
            <w:webHidden/>
          </w:rPr>
          <w:t>13</w:t>
        </w:r>
        <w:r w:rsidR="00905037">
          <w:rPr>
            <w:noProof/>
            <w:webHidden/>
          </w:rPr>
          <w:fldChar w:fldCharType="end"/>
        </w:r>
      </w:hyperlink>
    </w:p>
    <w:p w14:paraId="54C61ADA" w14:textId="62FCB0DA" w:rsidR="00905037" w:rsidRDefault="00AB1B4E" w:rsidP="00AC2D90">
      <w:pPr>
        <w:pStyle w:val="TOC2"/>
        <w:rPr>
          <w:rFonts w:asciiTheme="minorHAnsi" w:eastAsiaTheme="minorEastAsia" w:hAnsiTheme="minorHAnsi" w:cstheme="minorBidi"/>
          <w:sz w:val="22"/>
          <w:lang w:val="en-JM" w:eastAsia="en-JM"/>
        </w:rPr>
      </w:pPr>
      <w:hyperlink w:anchor="_Toc31010192" w:history="1">
        <w:r w:rsidR="00905037" w:rsidRPr="00E0376B">
          <w:rPr>
            <w:rStyle w:val="Hyperlink"/>
            <w:rFonts w:ascii="Georgia" w:hAnsi="Georgia"/>
          </w:rPr>
          <w:t>3.1</w:t>
        </w:r>
        <w:r w:rsidR="00905037">
          <w:rPr>
            <w:rFonts w:asciiTheme="minorHAnsi" w:eastAsiaTheme="minorEastAsia" w:hAnsiTheme="minorHAnsi" w:cstheme="minorBidi"/>
            <w:sz w:val="22"/>
            <w:lang w:val="en-JM" w:eastAsia="en-JM"/>
          </w:rPr>
          <w:tab/>
        </w:r>
        <w:r w:rsidR="00905037" w:rsidRPr="00E0376B">
          <w:rPr>
            <w:rStyle w:val="Hyperlink"/>
          </w:rPr>
          <w:t>Outline of Evaluation Process</w:t>
        </w:r>
        <w:r w:rsidR="00905037">
          <w:rPr>
            <w:webHidden/>
          </w:rPr>
          <w:tab/>
        </w:r>
        <w:r w:rsidR="00905037">
          <w:rPr>
            <w:webHidden/>
          </w:rPr>
          <w:fldChar w:fldCharType="begin"/>
        </w:r>
        <w:r w:rsidR="00905037">
          <w:rPr>
            <w:webHidden/>
          </w:rPr>
          <w:instrText xml:space="preserve"> PAGEREF _Toc31010192 \h </w:instrText>
        </w:r>
        <w:r w:rsidR="00905037">
          <w:rPr>
            <w:webHidden/>
          </w:rPr>
        </w:r>
        <w:r w:rsidR="00905037">
          <w:rPr>
            <w:webHidden/>
          </w:rPr>
          <w:fldChar w:fldCharType="separate"/>
        </w:r>
        <w:r w:rsidR="00044634">
          <w:rPr>
            <w:webHidden/>
          </w:rPr>
          <w:t>13</w:t>
        </w:r>
        <w:r w:rsidR="00905037">
          <w:rPr>
            <w:webHidden/>
          </w:rPr>
          <w:fldChar w:fldCharType="end"/>
        </w:r>
      </w:hyperlink>
    </w:p>
    <w:p w14:paraId="4F00ED25" w14:textId="550A30A7" w:rsidR="00905037" w:rsidRDefault="00AB1B4E" w:rsidP="00AC2D90">
      <w:pPr>
        <w:pStyle w:val="TOC2"/>
        <w:rPr>
          <w:rFonts w:asciiTheme="minorHAnsi" w:eastAsiaTheme="minorEastAsia" w:hAnsiTheme="minorHAnsi" w:cstheme="minorBidi"/>
          <w:sz w:val="22"/>
          <w:lang w:val="en-JM" w:eastAsia="en-JM"/>
        </w:rPr>
      </w:pPr>
      <w:hyperlink w:anchor="_Toc31010193" w:history="1">
        <w:r w:rsidR="00905037" w:rsidRPr="00E0376B">
          <w:rPr>
            <w:rStyle w:val="Hyperlink"/>
            <w:rFonts w:ascii="Georgia" w:hAnsi="Georgia" w:cs="Arial"/>
          </w:rPr>
          <w:t>3.2</w:t>
        </w:r>
        <w:r w:rsidR="00905037">
          <w:rPr>
            <w:rFonts w:asciiTheme="minorHAnsi" w:eastAsiaTheme="minorEastAsia" w:hAnsiTheme="minorHAnsi" w:cstheme="minorBidi"/>
            <w:sz w:val="22"/>
            <w:lang w:val="en-JM" w:eastAsia="en-JM"/>
          </w:rPr>
          <w:tab/>
        </w:r>
        <w:r w:rsidR="00905037" w:rsidRPr="00E0376B">
          <w:rPr>
            <w:rStyle w:val="Hyperlink"/>
          </w:rPr>
          <w:t>Stage 1: Pre-Qualification</w:t>
        </w:r>
        <w:r w:rsidR="00905037">
          <w:rPr>
            <w:webHidden/>
          </w:rPr>
          <w:tab/>
        </w:r>
        <w:r w:rsidR="00905037">
          <w:rPr>
            <w:webHidden/>
          </w:rPr>
          <w:fldChar w:fldCharType="begin"/>
        </w:r>
        <w:r w:rsidR="00905037">
          <w:rPr>
            <w:webHidden/>
          </w:rPr>
          <w:instrText xml:space="preserve"> PAGEREF _Toc31010193 \h </w:instrText>
        </w:r>
        <w:r w:rsidR="00905037">
          <w:rPr>
            <w:webHidden/>
          </w:rPr>
        </w:r>
        <w:r w:rsidR="00905037">
          <w:rPr>
            <w:webHidden/>
          </w:rPr>
          <w:fldChar w:fldCharType="separate"/>
        </w:r>
        <w:r w:rsidR="00044634">
          <w:rPr>
            <w:webHidden/>
          </w:rPr>
          <w:t>13</w:t>
        </w:r>
        <w:r w:rsidR="00905037">
          <w:rPr>
            <w:webHidden/>
          </w:rPr>
          <w:fldChar w:fldCharType="end"/>
        </w:r>
      </w:hyperlink>
    </w:p>
    <w:p w14:paraId="71967702" w14:textId="336CA790" w:rsidR="00905037" w:rsidRDefault="00AB1B4E" w:rsidP="00AC2D90">
      <w:pPr>
        <w:pStyle w:val="TOC2"/>
        <w:rPr>
          <w:rFonts w:asciiTheme="minorHAnsi" w:eastAsiaTheme="minorEastAsia" w:hAnsiTheme="minorHAnsi" w:cstheme="minorBidi"/>
          <w:sz w:val="22"/>
          <w:lang w:val="en-JM" w:eastAsia="en-JM"/>
        </w:rPr>
      </w:pPr>
      <w:hyperlink w:anchor="_Toc31010194" w:history="1">
        <w:r w:rsidR="00905037" w:rsidRPr="00E0376B">
          <w:rPr>
            <w:rStyle w:val="Hyperlink"/>
            <w:rFonts w:ascii="Georgia" w:hAnsi="Georgia"/>
          </w:rPr>
          <w:t>3.3</w:t>
        </w:r>
        <w:r w:rsidR="00905037">
          <w:rPr>
            <w:rFonts w:asciiTheme="minorHAnsi" w:eastAsiaTheme="minorEastAsia" w:hAnsiTheme="minorHAnsi" w:cstheme="minorBidi"/>
            <w:sz w:val="22"/>
            <w:lang w:val="en-JM" w:eastAsia="en-JM"/>
          </w:rPr>
          <w:tab/>
        </w:r>
        <w:r w:rsidR="00905037" w:rsidRPr="00E0376B">
          <w:rPr>
            <w:rStyle w:val="Hyperlink"/>
          </w:rPr>
          <w:t>Stage 2: Review by the Investor Panel</w:t>
        </w:r>
        <w:r w:rsidR="00905037">
          <w:rPr>
            <w:webHidden/>
          </w:rPr>
          <w:tab/>
        </w:r>
        <w:r w:rsidR="00905037">
          <w:rPr>
            <w:webHidden/>
          </w:rPr>
          <w:fldChar w:fldCharType="begin"/>
        </w:r>
        <w:r w:rsidR="00905037">
          <w:rPr>
            <w:webHidden/>
          </w:rPr>
          <w:instrText xml:space="preserve"> PAGEREF _Toc31010194 \h </w:instrText>
        </w:r>
        <w:r w:rsidR="00905037">
          <w:rPr>
            <w:webHidden/>
          </w:rPr>
        </w:r>
        <w:r w:rsidR="00905037">
          <w:rPr>
            <w:webHidden/>
          </w:rPr>
          <w:fldChar w:fldCharType="separate"/>
        </w:r>
        <w:r w:rsidR="00044634">
          <w:rPr>
            <w:webHidden/>
          </w:rPr>
          <w:t>13</w:t>
        </w:r>
        <w:r w:rsidR="00905037">
          <w:rPr>
            <w:webHidden/>
          </w:rPr>
          <w:fldChar w:fldCharType="end"/>
        </w:r>
      </w:hyperlink>
    </w:p>
    <w:p w14:paraId="34608E60" w14:textId="3F472699" w:rsidR="00905037" w:rsidRDefault="00AB1B4E" w:rsidP="00AC2D90">
      <w:pPr>
        <w:pStyle w:val="TOC2"/>
        <w:rPr>
          <w:rFonts w:asciiTheme="minorHAnsi" w:eastAsiaTheme="minorEastAsia" w:hAnsiTheme="minorHAnsi" w:cstheme="minorBidi"/>
          <w:sz w:val="22"/>
          <w:lang w:val="en-JM" w:eastAsia="en-JM"/>
        </w:rPr>
      </w:pPr>
      <w:hyperlink w:anchor="_Toc31010195" w:history="1">
        <w:r w:rsidR="00905037" w:rsidRPr="00E0376B">
          <w:rPr>
            <w:rStyle w:val="Hyperlink"/>
            <w:rFonts w:ascii="Georgia" w:hAnsi="Georgia"/>
          </w:rPr>
          <w:t>3.4</w:t>
        </w:r>
        <w:r w:rsidR="00905037">
          <w:rPr>
            <w:rFonts w:asciiTheme="minorHAnsi" w:eastAsiaTheme="minorEastAsia" w:hAnsiTheme="minorHAnsi" w:cstheme="minorBidi"/>
            <w:sz w:val="22"/>
            <w:lang w:val="en-JM" w:eastAsia="en-JM"/>
          </w:rPr>
          <w:tab/>
        </w:r>
        <w:r w:rsidR="00905037" w:rsidRPr="00E0376B">
          <w:rPr>
            <w:rStyle w:val="Hyperlink"/>
          </w:rPr>
          <w:t>Decision of the Investor Panel</w:t>
        </w:r>
        <w:r w:rsidR="00905037">
          <w:rPr>
            <w:webHidden/>
          </w:rPr>
          <w:tab/>
        </w:r>
        <w:r w:rsidR="00905037">
          <w:rPr>
            <w:webHidden/>
          </w:rPr>
          <w:fldChar w:fldCharType="begin"/>
        </w:r>
        <w:r w:rsidR="00905037">
          <w:rPr>
            <w:webHidden/>
          </w:rPr>
          <w:instrText xml:space="preserve"> PAGEREF _Toc31010195 \h </w:instrText>
        </w:r>
        <w:r w:rsidR="00905037">
          <w:rPr>
            <w:webHidden/>
          </w:rPr>
        </w:r>
        <w:r w:rsidR="00905037">
          <w:rPr>
            <w:webHidden/>
          </w:rPr>
          <w:fldChar w:fldCharType="separate"/>
        </w:r>
        <w:r w:rsidR="00044634">
          <w:rPr>
            <w:webHidden/>
          </w:rPr>
          <w:t>14</w:t>
        </w:r>
        <w:r w:rsidR="00905037">
          <w:rPr>
            <w:webHidden/>
          </w:rPr>
          <w:fldChar w:fldCharType="end"/>
        </w:r>
      </w:hyperlink>
    </w:p>
    <w:p w14:paraId="7742BC15" w14:textId="5801115A" w:rsidR="00905037" w:rsidRDefault="00AB1B4E">
      <w:pPr>
        <w:pStyle w:val="TOC1"/>
        <w:rPr>
          <w:rFonts w:asciiTheme="minorHAnsi" w:eastAsiaTheme="minorEastAsia" w:hAnsiTheme="minorHAnsi" w:cstheme="minorBidi"/>
          <w:noProof/>
          <w:sz w:val="22"/>
          <w:lang w:val="en-JM" w:eastAsia="en-JM"/>
        </w:rPr>
      </w:pPr>
      <w:hyperlink w:anchor="_Toc31010196" w:history="1">
        <w:r w:rsidR="00905037" w:rsidRPr="00E0376B">
          <w:rPr>
            <w:rStyle w:val="Hyperlink"/>
            <w:noProof/>
          </w:rPr>
          <w:t>4</w:t>
        </w:r>
        <w:r w:rsidR="00905037">
          <w:rPr>
            <w:rFonts w:asciiTheme="minorHAnsi" w:eastAsiaTheme="minorEastAsia" w:hAnsiTheme="minorHAnsi" w:cstheme="minorBidi"/>
            <w:noProof/>
            <w:sz w:val="22"/>
            <w:lang w:val="en-JM" w:eastAsia="en-JM"/>
          </w:rPr>
          <w:tab/>
        </w:r>
        <w:r w:rsidR="00905037" w:rsidRPr="00E0376B">
          <w:rPr>
            <w:rStyle w:val="Hyperlink"/>
            <w:noProof/>
          </w:rPr>
          <w:t>Clarification of Issues</w:t>
        </w:r>
        <w:r w:rsidR="00905037">
          <w:rPr>
            <w:noProof/>
            <w:webHidden/>
          </w:rPr>
          <w:tab/>
        </w:r>
        <w:r w:rsidR="00905037">
          <w:rPr>
            <w:noProof/>
            <w:webHidden/>
          </w:rPr>
          <w:fldChar w:fldCharType="begin"/>
        </w:r>
        <w:r w:rsidR="00905037">
          <w:rPr>
            <w:noProof/>
            <w:webHidden/>
          </w:rPr>
          <w:instrText xml:space="preserve"> PAGEREF _Toc31010196 \h </w:instrText>
        </w:r>
        <w:r w:rsidR="00905037">
          <w:rPr>
            <w:noProof/>
            <w:webHidden/>
          </w:rPr>
        </w:r>
        <w:r w:rsidR="00905037">
          <w:rPr>
            <w:noProof/>
            <w:webHidden/>
          </w:rPr>
          <w:fldChar w:fldCharType="separate"/>
        </w:r>
        <w:r w:rsidR="00044634">
          <w:rPr>
            <w:noProof/>
            <w:webHidden/>
          </w:rPr>
          <w:t>15</w:t>
        </w:r>
        <w:r w:rsidR="00905037">
          <w:rPr>
            <w:noProof/>
            <w:webHidden/>
          </w:rPr>
          <w:fldChar w:fldCharType="end"/>
        </w:r>
      </w:hyperlink>
    </w:p>
    <w:p w14:paraId="56366F35" w14:textId="6F38A0A9" w:rsidR="00905037" w:rsidRDefault="00AB1B4E">
      <w:pPr>
        <w:pStyle w:val="TOC1"/>
        <w:rPr>
          <w:rFonts w:asciiTheme="minorHAnsi" w:eastAsiaTheme="minorEastAsia" w:hAnsiTheme="minorHAnsi" w:cstheme="minorBidi"/>
          <w:noProof/>
          <w:sz w:val="22"/>
          <w:lang w:val="en-JM" w:eastAsia="en-JM"/>
        </w:rPr>
      </w:pPr>
      <w:hyperlink w:anchor="_Toc31010197" w:history="1">
        <w:r w:rsidR="00905037" w:rsidRPr="00E0376B">
          <w:rPr>
            <w:rStyle w:val="Hyperlink"/>
            <w:noProof/>
          </w:rPr>
          <w:t>5</w:t>
        </w:r>
        <w:r w:rsidR="00905037">
          <w:rPr>
            <w:rFonts w:asciiTheme="minorHAnsi" w:eastAsiaTheme="minorEastAsia" w:hAnsiTheme="minorHAnsi" w:cstheme="minorBidi"/>
            <w:noProof/>
            <w:sz w:val="22"/>
            <w:lang w:val="en-JM" w:eastAsia="en-JM"/>
          </w:rPr>
          <w:tab/>
        </w:r>
        <w:r w:rsidR="00905037" w:rsidRPr="00E0376B">
          <w:rPr>
            <w:rStyle w:val="Hyperlink"/>
            <w:noProof/>
          </w:rPr>
          <w:t>Investors’ Terms and Preferences</w:t>
        </w:r>
        <w:r w:rsidR="00905037">
          <w:rPr>
            <w:noProof/>
            <w:webHidden/>
          </w:rPr>
          <w:tab/>
        </w:r>
        <w:r w:rsidR="00905037">
          <w:rPr>
            <w:noProof/>
            <w:webHidden/>
          </w:rPr>
          <w:fldChar w:fldCharType="begin"/>
        </w:r>
        <w:r w:rsidR="00905037">
          <w:rPr>
            <w:noProof/>
            <w:webHidden/>
          </w:rPr>
          <w:instrText xml:space="preserve"> PAGEREF _Toc31010197 \h </w:instrText>
        </w:r>
        <w:r w:rsidR="00905037">
          <w:rPr>
            <w:noProof/>
            <w:webHidden/>
          </w:rPr>
        </w:r>
        <w:r w:rsidR="00905037">
          <w:rPr>
            <w:noProof/>
            <w:webHidden/>
          </w:rPr>
          <w:fldChar w:fldCharType="separate"/>
        </w:r>
        <w:r w:rsidR="00044634">
          <w:rPr>
            <w:noProof/>
            <w:webHidden/>
          </w:rPr>
          <w:t>15</w:t>
        </w:r>
        <w:r w:rsidR="00905037">
          <w:rPr>
            <w:noProof/>
            <w:webHidden/>
          </w:rPr>
          <w:fldChar w:fldCharType="end"/>
        </w:r>
      </w:hyperlink>
    </w:p>
    <w:p w14:paraId="01552E95" w14:textId="294B0E17" w:rsidR="00905037" w:rsidRDefault="00AB1B4E" w:rsidP="00165D3E">
      <w:pPr>
        <w:pStyle w:val="TOC1"/>
        <w:rPr>
          <w:rFonts w:asciiTheme="minorHAnsi" w:eastAsiaTheme="minorEastAsia" w:hAnsiTheme="minorHAnsi" w:cstheme="minorBidi"/>
          <w:noProof/>
          <w:sz w:val="22"/>
          <w:lang w:val="en-JM" w:eastAsia="en-JM"/>
        </w:rPr>
      </w:pPr>
      <w:hyperlink w:anchor="_Toc31010198" w:history="1">
        <w:r w:rsidR="00905037" w:rsidRPr="00E0376B">
          <w:rPr>
            <w:rStyle w:val="Hyperlink"/>
            <w:rFonts w:eastAsiaTheme="majorEastAsia"/>
            <w:b/>
            <w:bCs/>
            <w:noProof/>
          </w:rPr>
          <w:t>6</w:t>
        </w:r>
        <w:r w:rsidR="00905037">
          <w:rPr>
            <w:rFonts w:asciiTheme="minorHAnsi" w:eastAsiaTheme="minorEastAsia" w:hAnsiTheme="minorHAnsi" w:cstheme="minorBidi"/>
            <w:noProof/>
            <w:sz w:val="22"/>
            <w:lang w:val="en-JM" w:eastAsia="en-JM"/>
          </w:rPr>
          <w:tab/>
        </w:r>
        <w:r w:rsidR="00905037" w:rsidRPr="00321F0C">
          <w:rPr>
            <w:rStyle w:val="Hyperlink"/>
            <w:rFonts w:eastAsiaTheme="majorEastAsia" w:cstheme="majorBidi"/>
            <w:noProof/>
          </w:rPr>
          <w:t>Calendar</w:t>
        </w:r>
        <w:r w:rsidR="00905037">
          <w:rPr>
            <w:noProof/>
            <w:webHidden/>
          </w:rPr>
          <w:tab/>
        </w:r>
        <w:r w:rsidR="00905037">
          <w:rPr>
            <w:noProof/>
            <w:webHidden/>
          </w:rPr>
          <w:fldChar w:fldCharType="begin"/>
        </w:r>
        <w:r w:rsidR="00905037">
          <w:rPr>
            <w:noProof/>
            <w:webHidden/>
          </w:rPr>
          <w:instrText xml:space="preserve"> PAGEREF _Toc31010198 \h </w:instrText>
        </w:r>
        <w:r w:rsidR="00905037">
          <w:rPr>
            <w:noProof/>
            <w:webHidden/>
          </w:rPr>
        </w:r>
        <w:r w:rsidR="00905037">
          <w:rPr>
            <w:noProof/>
            <w:webHidden/>
          </w:rPr>
          <w:fldChar w:fldCharType="separate"/>
        </w:r>
        <w:r w:rsidR="00044634">
          <w:rPr>
            <w:noProof/>
            <w:webHidden/>
          </w:rPr>
          <w:t>15</w:t>
        </w:r>
        <w:r w:rsidR="00905037">
          <w:rPr>
            <w:noProof/>
            <w:webHidden/>
          </w:rPr>
          <w:fldChar w:fldCharType="end"/>
        </w:r>
      </w:hyperlink>
    </w:p>
    <w:p w14:paraId="3BE8B3F1" w14:textId="2055A351" w:rsidR="00905037" w:rsidRDefault="00AB1B4E" w:rsidP="00165D3E">
      <w:pPr>
        <w:pStyle w:val="TOC1"/>
        <w:rPr>
          <w:noProof/>
        </w:rPr>
      </w:pPr>
      <w:hyperlink w:anchor="_Toc31010199" w:history="1">
        <w:r w:rsidR="00905037" w:rsidRPr="00E0376B">
          <w:rPr>
            <w:rStyle w:val="Hyperlink"/>
            <w:noProof/>
          </w:rPr>
          <w:t>7</w:t>
        </w:r>
        <w:r w:rsidR="00905037">
          <w:rPr>
            <w:rFonts w:asciiTheme="minorHAnsi" w:eastAsiaTheme="minorEastAsia" w:hAnsiTheme="minorHAnsi" w:cstheme="minorBidi"/>
            <w:noProof/>
            <w:sz w:val="22"/>
            <w:lang w:val="en-JM" w:eastAsia="en-JM"/>
          </w:rPr>
          <w:tab/>
        </w:r>
        <w:r w:rsidR="00905037" w:rsidRPr="00E0376B">
          <w:rPr>
            <w:rStyle w:val="Hyperlink"/>
            <w:noProof/>
          </w:rPr>
          <w:t>Definitions</w:t>
        </w:r>
        <w:r w:rsidR="00905037">
          <w:rPr>
            <w:noProof/>
            <w:webHidden/>
          </w:rPr>
          <w:tab/>
        </w:r>
        <w:r w:rsidR="00905037">
          <w:rPr>
            <w:noProof/>
            <w:webHidden/>
          </w:rPr>
          <w:fldChar w:fldCharType="begin"/>
        </w:r>
        <w:r w:rsidR="00905037">
          <w:rPr>
            <w:noProof/>
            <w:webHidden/>
          </w:rPr>
          <w:instrText xml:space="preserve"> PAGEREF _Toc31010199 \h </w:instrText>
        </w:r>
        <w:r w:rsidR="00905037">
          <w:rPr>
            <w:noProof/>
            <w:webHidden/>
          </w:rPr>
        </w:r>
        <w:r w:rsidR="00905037">
          <w:rPr>
            <w:noProof/>
            <w:webHidden/>
          </w:rPr>
          <w:fldChar w:fldCharType="separate"/>
        </w:r>
        <w:r w:rsidR="00044634">
          <w:rPr>
            <w:noProof/>
            <w:webHidden/>
          </w:rPr>
          <w:t>16</w:t>
        </w:r>
        <w:r w:rsidR="00905037">
          <w:rPr>
            <w:noProof/>
            <w:webHidden/>
          </w:rPr>
          <w:fldChar w:fldCharType="end"/>
        </w:r>
      </w:hyperlink>
    </w:p>
    <w:p w14:paraId="00F3B0DF" w14:textId="59C19149" w:rsidR="00220734" w:rsidRPr="00220734" w:rsidRDefault="00220734" w:rsidP="00220734">
      <w:pPr>
        <w:rPr>
          <w:noProof/>
        </w:rPr>
      </w:pPr>
      <w:r>
        <w:rPr>
          <w:noProof/>
        </w:rPr>
        <w:t xml:space="preserve">8          </w:t>
      </w:r>
      <w:r w:rsidRPr="006451B6">
        <w:rPr>
          <w:rFonts w:ascii="Times New Roman" w:hAnsi="Times New Roman" w:cs="Times New Roman"/>
          <w:noProof/>
          <w:sz w:val="20"/>
          <w:szCs w:val="20"/>
        </w:rPr>
        <w:t xml:space="preserve"> Investor Panel Investment Criteria  </w:t>
      </w:r>
      <w:r>
        <w:rPr>
          <w:noProof/>
        </w:rPr>
        <w:t xml:space="preserve">                                                                                       </w:t>
      </w:r>
      <w:r w:rsidR="00D85453">
        <w:rPr>
          <w:noProof/>
        </w:rPr>
        <w:t xml:space="preserve"> </w:t>
      </w:r>
      <w:r>
        <w:rPr>
          <w:noProof/>
        </w:rPr>
        <w:t xml:space="preserve">  </w:t>
      </w:r>
      <w:r w:rsidR="00165D3E">
        <w:rPr>
          <w:noProof/>
        </w:rPr>
        <w:t xml:space="preserve">      </w:t>
      </w:r>
      <w:r>
        <w:rPr>
          <w:noProof/>
        </w:rPr>
        <w:t xml:space="preserve">          </w:t>
      </w:r>
      <w:r w:rsidR="00044634" w:rsidRPr="00044634">
        <w:rPr>
          <w:rFonts w:ascii="Times New Roman" w:hAnsi="Times New Roman" w:cs="Times New Roman"/>
          <w:noProof/>
          <w:sz w:val="20"/>
          <w:szCs w:val="20"/>
        </w:rPr>
        <w:t>1</w:t>
      </w:r>
      <w:r w:rsidR="00044634" w:rsidRPr="00044634">
        <w:rPr>
          <w:rFonts w:ascii="Times New Roman" w:eastAsia="Times New Roman" w:hAnsi="Times New Roman" w:cs="Times New Roman"/>
          <w:noProof/>
          <w:sz w:val="20"/>
          <w:szCs w:val="20"/>
        </w:rPr>
        <w:t>8</w:t>
      </w:r>
    </w:p>
    <w:p w14:paraId="694BE5AA" w14:textId="1B3BD9B6" w:rsidR="00905037" w:rsidRDefault="00220734" w:rsidP="00AC2D90">
      <w:pPr>
        <w:pStyle w:val="TOC2"/>
        <w:rPr>
          <w:rFonts w:asciiTheme="minorHAnsi" w:eastAsiaTheme="minorEastAsia" w:hAnsiTheme="minorHAnsi" w:cstheme="minorBidi"/>
          <w:sz w:val="22"/>
          <w:lang w:val="en-JM" w:eastAsia="en-JM"/>
        </w:rPr>
      </w:pPr>
      <w:r w:rsidRPr="00AC2D90">
        <w:rPr>
          <w:b/>
          <w:bCs/>
        </w:rPr>
        <w:t>APPENDICES</w:t>
      </w:r>
      <w:r>
        <w:t xml:space="preserve">                                                                        </w:t>
      </w:r>
      <w:r w:rsidR="00AC2D90">
        <w:t xml:space="preserve">                    </w:t>
      </w:r>
      <w:r>
        <w:t xml:space="preserve">                                                                                 </w:t>
      </w:r>
      <w:r w:rsidR="00044634" w:rsidRPr="00044634">
        <w:rPr>
          <w:rFonts w:ascii="Georgia" w:eastAsia="Times New Roman" w:hAnsi="Georgia"/>
          <w:b/>
        </w:rPr>
        <w:t>19</w:t>
      </w:r>
    </w:p>
    <w:p w14:paraId="38DE69AF" w14:textId="7CAE98AE" w:rsidR="00905037" w:rsidRPr="00873027" w:rsidRDefault="00220734" w:rsidP="00D73C5C">
      <w:pPr>
        <w:pStyle w:val="TOC1"/>
        <w:rPr>
          <w:noProof/>
        </w:rPr>
      </w:pPr>
      <w:r>
        <w:rPr>
          <w:noProof/>
        </w:rPr>
        <w:t>I.</w:t>
      </w:r>
      <w:r w:rsidR="00873027">
        <w:rPr>
          <w:noProof/>
        </w:rPr>
        <w:t xml:space="preserve"> Preliminary Screening of Fund Manager Application Form                                                </w:t>
      </w:r>
      <w:r w:rsidR="00044634">
        <w:rPr>
          <w:noProof/>
        </w:rPr>
        <w:t xml:space="preserve">                              19</w:t>
      </w:r>
    </w:p>
    <w:p w14:paraId="478939E9" w14:textId="6E019504" w:rsidR="00905037" w:rsidRDefault="00220734" w:rsidP="00165D3E">
      <w:pPr>
        <w:pStyle w:val="TOC1"/>
        <w:rPr>
          <w:rFonts w:asciiTheme="minorHAnsi" w:eastAsiaTheme="minorEastAsia" w:hAnsiTheme="minorHAnsi" w:cstheme="minorBidi"/>
          <w:noProof/>
          <w:sz w:val="22"/>
          <w:lang w:val="en-JM" w:eastAsia="en-JM"/>
        </w:rPr>
      </w:pPr>
      <w:r>
        <w:rPr>
          <w:noProof/>
        </w:rPr>
        <w:t>II.</w:t>
      </w:r>
      <w:r w:rsidR="00AC2D90">
        <w:rPr>
          <w:noProof/>
        </w:rPr>
        <w:t xml:space="preserve"> Presentation Evaluation Form                                                                                                                     </w:t>
      </w:r>
      <w:r w:rsidR="00EB66C0">
        <w:rPr>
          <w:noProof/>
        </w:rPr>
        <w:t xml:space="preserve">     </w:t>
      </w:r>
      <w:r w:rsidR="00AC2D90">
        <w:rPr>
          <w:noProof/>
        </w:rPr>
        <w:t xml:space="preserve"> </w:t>
      </w:r>
      <w:r w:rsidR="00EB66C0">
        <w:rPr>
          <w:noProof/>
        </w:rPr>
        <w:t>2</w:t>
      </w:r>
      <w:r w:rsidR="00044634">
        <w:rPr>
          <w:noProof/>
        </w:rPr>
        <w:t>2</w:t>
      </w:r>
    </w:p>
    <w:p w14:paraId="247C7693" w14:textId="0CA746A3" w:rsidR="00165289" w:rsidRPr="00873027" w:rsidRDefault="00AC2D90" w:rsidP="00AC2D90">
      <w:pPr>
        <w:pStyle w:val="TOC2"/>
        <w:rPr>
          <w:rStyle w:val="Hyperlink"/>
          <w:rFonts w:asciiTheme="minorHAnsi" w:hAnsiTheme="minorHAnsi" w:cstheme="minorHAnsi"/>
          <w:color w:val="auto"/>
          <w:szCs w:val="20"/>
          <w:u w:val="none"/>
          <w:lang w:val="en-JM"/>
        </w:rPr>
      </w:pPr>
      <w:r w:rsidRPr="00873027">
        <w:rPr>
          <w:rFonts w:ascii="Georgia" w:eastAsia="Times New Roman" w:hAnsi="Georgia"/>
          <w:lang w:val="en-JM"/>
        </w:rPr>
        <w:t>III</w:t>
      </w:r>
      <w:r w:rsidR="00220734" w:rsidRPr="00873027">
        <w:rPr>
          <w:rFonts w:ascii="Georgia" w:eastAsia="Times New Roman" w:hAnsi="Georgia"/>
          <w:lang w:val="en-JM"/>
        </w:rPr>
        <w:t>.</w:t>
      </w:r>
      <w:r w:rsidR="00220734" w:rsidRPr="00873027">
        <w:rPr>
          <w:lang w:val="en-JM"/>
        </w:rPr>
        <w:t xml:space="preserve"> </w:t>
      </w:r>
      <w:r w:rsidR="00165289" w:rsidRPr="00873027">
        <w:rPr>
          <w:lang w:val="en-JM"/>
        </w:rPr>
        <w:t>Investor Panel Due Diligence Questionnaire</w:t>
      </w:r>
      <w:r w:rsidRPr="00873027">
        <w:rPr>
          <w:lang w:val="en-JM"/>
        </w:rPr>
        <w:t xml:space="preserve">                                                                                                        </w:t>
      </w:r>
      <w:r w:rsidR="00D00E92" w:rsidRPr="00873027">
        <w:rPr>
          <w:lang w:val="en-JM"/>
        </w:rPr>
        <w:t xml:space="preserve">  </w:t>
      </w:r>
      <w:r w:rsidR="00EB66C0" w:rsidRPr="00873027">
        <w:rPr>
          <w:lang w:val="en-JM"/>
        </w:rPr>
        <w:t xml:space="preserve"> </w:t>
      </w:r>
      <w:r w:rsidR="00873027" w:rsidRPr="00873027">
        <w:rPr>
          <w:lang w:val="en-JM"/>
        </w:rPr>
        <w:t xml:space="preserve"> </w:t>
      </w:r>
      <w:r w:rsidR="00EB66C0" w:rsidRPr="00873027">
        <w:rPr>
          <w:rFonts w:ascii="Georgia" w:eastAsia="Times New Roman" w:hAnsi="Georgia"/>
          <w:webHidden/>
          <w:lang w:val="en-JM"/>
        </w:rPr>
        <w:t>2</w:t>
      </w:r>
      <w:r w:rsidR="00044634">
        <w:rPr>
          <w:rFonts w:ascii="Georgia" w:eastAsia="Times New Roman" w:hAnsi="Georgia"/>
          <w:webHidden/>
          <w:lang w:val="en-JM"/>
        </w:rPr>
        <w:t>3</w:t>
      </w:r>
    </w:p>
    <w:p w14:paraId="294269CD" w14:textId="018EB83F" w:rsidR="00905037" w:rsidRPr="00AC2D90" w:rsidRDefault="00AC2D90" w:rsidP="00AC2D90">
      <w:pPr>
        <w:pStyle w:val="TOC2"/>
      </w:pPr>
      <w:r w:rsidRPr="00D00E92">
        <w:rPr>
          <w:rFonts w:ascii="Georgia" w:eastAsia="Times New Roman" w:hAnsi="Georgia"/>
          <w:lang w:val="en-JM"/>
        </w:rPr>
        <w:t>I</w:t>
      </w:r>
      <w:r w:rsidR="00220734" w:rsidRPr="00D00E92">
        <w:rPr>
          <w:rFonts w:ascii="Georgia" w:eastAsia="Times New Roman" w:hAnsi="Georgia"/>
          <w:lang w:val="en-JM"/>
        </w:rPr>
        <w:t>V</w:t>
      </w:r>
      <w:r w:rsidR="00220734" w:rsidRPr="00AC2D90">
        <w:rPr>
          <w:rStyle w:val="Hyperlink"/>
          <w:rFonts w:asciiTheme="minorHAnsi" w:hAnsiTheme="minorHAnsi" w:cstheme="minorHAnsi"/>
          <w:color w:val="auto"/>
          <w:szCs w:val="20"/>
          <w:u w:val="none"/>
        </w:rPr>
        <w:t xml:space="preserve">. Complaint Mechanism Guidelines                                     </w:t>
      </w:r>
      <w:r w:rsidR="00BA5F1C" w:rsidRPr="00AC2D90">
        <w:t xml:space="preserve">        </w:t>
      </w:r>
      <w:r>
        <w:t xml:space="preserve">  </w:t>
      </w:r>
      <w:r w:rsidR="00BA5F1C" w:rsidRPr="00AC2D90">
        <w:t xml:space="preserve">               </w:t>
      </w:r>
      <w:r w:rsidRPr="00AC2D90">
        <w:t xml:space="preserve">      </w:t>
      </w:r>
      <w:r w:rsidR="00BA5F1C" w:rsidRPr="00AC2D90">
        <w:t xml:space="preserve">                       </w:t>
      </w:r>
      <w:r w:rsidRPr="00AC2D90">
        <w:t xml:space="preserve"> </w:t>
      </w:r>
      <w:r w:rsidR="00BA5F1C" w:rsidRPr="00AC2D90">
        <w:t xml:space="preserve">                                    </w:t>
      </w:r>
      <w:r w:rsidR="00220734" w:rsidRPr="00AC2D90">
        <w:t xml:space="preserve"> </w:t>
      </w:r>
      <w:r w:rsidR="00220734" w:rsidRPr="00D00E92">
        <w:rPr>
          <w:rFonts w:ascii="Georgia" w:eastAsia="Times New Roman" w:hAnsi="Georgia"/>
          <w:lang w:val="en-JM"/>
        </w:rPr>
        <w:t>2</w:t>
      </w:r>
      <w:r w:rsidR="00873027">
        <w:rPr>
          <w:rFonts w:ascii="Georgia" w:eastAsia="Times New Roman" w:hAnsi="Georgia"/>
          <w:lang w:val="en-JM"/>
        </w:rPr>
        <w:t>4</w:t>
      </w:r>
    </w:p>
    <w:p w14:paraId="513DD1E9" w14:textId="5C1A0CD7" w:rsidR="00AC293F" w:rsidRPr="00D00E92" w:rsidRDefault="00AC293F" w:rsidP="00AC293F">
      <w:pPr>
        <w:rPr>
          <w:rFonts w:cstheme="minorHAnsi"/>
          <w:noProof/>
          <w:color w:val="002060"/>
          <w:sz w:val="20"/>
          <w:szCs w:val="20"/>
        </w:rPr>
      </w:pPr>
      <w:r w:rsidRPr="00D00E92">
        <w:rPr>
          <w:rFonts w:ascii="Georgia" w:eastAsia="Times New Roman" w:hAnsi="Georgia" w:cs="Times New Roman"/>
          <w:noProof/>
          <w:sz w:val="20"/>
          <w:lang w:val="en-JM"/>
        </w:rPr>
        <w:t xml:space="preserve"> </w:t>
      </w:r>
      <w:bookmarkStart w:id="2" w:name="_Hlk31618227"/>
      <w:r w:rsidR="00AC2D90" w:rsidRPr="00D00E92">
        <w:rPr>
          <w:rFonts w:ascii="Georgia" w:eastAsia="Times New Roman" w:hAnsi="Georgia" w:cs="Times New Roman"/>
          <w:noProof/>
          <w:sz w:val="20"/>
          <w:lang w:val="en-JM"/>
        </w:rPr>
        <w:t>V</w:t>
      </w:r>
      <w:r w:rsidR="00AC2D90" w:rsidRPr="00AC2D90">
        <w:rPr>
          <w:rFonts w:cstheme="minorHAnsi"/>
          <w:noProof/>
          <w:sz w:val="20"/>
          <w:szCs w:val="20"/>
        </w:rPr>
        <w:t xml:space="preserve">. </w:t>
      </w:r>
      <w:bookmarkEnd w:id="2"/>
      <w:r w:rsidR="00AC2D90" w:rsidRPr="00AC2D90">
        <w:rPr>
          <w:rFonts w:cstheme="minorHAnsi"/>
          <w:noProof/>
          <w:sz w:val="20"/>
          <w:szCs w:val="20"/>
        </w:rPr>
        <w:t xml:space="preserve"> </w:t>
      </w:r>
      <w:r w:rsidR="007E5D7D">
        <w:rPr>
          <w:rFonts w:cstheme="minorHAnsi"/>
          <w:noProof/>
          <w:sz w:val="20"/>
          <w:szCs w:val="20"/>
        </w:rPr>
        <w:t>DBJ</w:t>
      </w:r>
      <w:r w:rsidR="00AC2D90" w:rsidRPr="00AC2D90">
        <w:rPr>
          <w:rFonts w:cstheme="minorHAnsi"/>
          <w:noProof/>
          <w:sz w:val="20"/>
          <w:szCs w:val="20"/>
        </w:rPr>
        <w:t xml:space="preserve">'s Fraud and Corruption Guidelines   </w:t>
      </w:r>
      <w:r w:rsidR="00AC2D90" w:rsidRPr="00AC2D90">
        <w:rPr>
          <w:rFonts w:cstheme="minorHAnsi"/>
          <w:noProof/>
          <w:color w:val="002060"/>
          <w:sz w:val="20"/>
          <w:szCs w:val="20"/>
        </w:rPr>
        <w:t xml:space="preserve">                                                                     </w:t>
      </w:r>
      <w:r w:rsidR="00AC2D90">
        <w:rPr>
          <w:rFonts w:cstheme="minorHAnsi"/>
          <w:noProof/>
          <w:color w:val="002060"/>
          <w:sz w:val="20"/>
          <w:szCs w:val="20"/>
        </w:rPr>
        <w:t xml:space="preserve"> </w:t>
      </w:r>
      <w:r w:rsidR="00AC2D90" w:rsidRPr="00AC2D90">
        <w:rPr>
          <w:rFonts w:cstheme="minorHAnsi"/>
          <w:noProof/>
          <w:color w:val="002060"/>
          <w:sz w:val="20"/>
          <w:szCs w:val="20"/>
        </w:rPr>
        <w:t xml:space="preserve">                           </w:t>
      </w:r>
      <w:r w:rsidR="007E5D7D">
        <w:rPr>
          <w:rFonts w:cstheme="minorHAnsi"/>
          <w:noProof/>
          <w:color w:val="002060"/>
          <w:sz w:val="20"/>
          <w:szCs w:val="20"/>
        </w:rPr>
        <w:t xml:space="preserve">              </w:t>
      </w:r>
      <w:r w:rsidR="00AC2D90" w:rsidRPr="00AC2D90">
        <w:rPr>
          <w:rFonts w:cstheme="minorHAnsi"/>
          <w:noProof/>
          <w:color w:val="002060"/>
          <w:sz w:val="20"/>
          <w:szCs w:val="20"/>
        </w:rPr>
        <w:t xml:space="preserve"> </w:t>
      </w:r>
      <w:r w:rsidR="00AC2D90" w:rsidRPr="00AC2D90">
        <w:rPr>
          <w:rFonts w:cstheme="minorHAnsi"/>
          <w:noProof/>
          <w:sz w:val="20"/>
          <w:szCs w:val="20"/>
        </w:rPr>
        <w:t xml:space="preserve"> </w:t>
      </w:r>
      <w:r w:rsidR="00AC2D90" w:rsidRPr="00D85453">
        <w:rPr>
          <w:rFonts w:ascii="Cambria" w:eastAsia="MS Gothic" w:hAnsi="Cambria" w:cs="Times New Roman"/>
          <w:noProof/>
          <w:sz w:val="20"/>
        </w:rPr>
        <w:t xml:space="preserve"> </w:t>
      </w:r>
      <w:r w:rsidR="00873027">
        <w:rPr>
          <w:rFonts w:ascii="Cambria" w:eastAsia="MS Gothic" w:hAnsi="Cambria" w:cs="Times New Roman"/>
          <w:noProof/>
          <w:sz w:val="20"/>
        </w:rPr>
        <w:t xml:space="preserve"> </w:t>
      </w:r>
      <w:r w:rsidR="00EB66C0">
        <w:rPr>
          <w:rFonts w:ascii="Georgia" w:eastAsia="Times New Roman" w:hAnsi="Georgia" w:cs="Times New Roman"/>
          <w:noProof/>
          <w:sz w:val="20"/>
        </w:rPr>
        <w:t>2</w:t>
      </w:r>
      <w:r w:rsidR="00044634">
        <w:rPr>
          <w:rFonts w:ascii="Georgia" w:eastAsia="Times New Roman" w:hAnsi="Georgia" w:cs="Times New Roman"/>
          <w:noProof/>
          <w:sz w:val="20"/>
        </w:rPr>
        <w:t>7</w:t>
      </w:r>
    </w:p>
    <w:p w14:paraId="33C4A494" w14:textId="73E1B67C" w:rsidR="00E445B8" w:rsidRPr="00E244B6" w:rsidRDefault="00905037" w:rsidP="00D73C5C">
      <w:pPr>
        <w:pStyle w:val="TOC1"/>
      </w:pPr>
      <w:r>
        <w:fldChar w:fldCharType="end"/>
      </w:r>
    </w:p>
    <w:p w14:paraId="19EA8A39" w14:textId="77777777" w:rsidR="00E445B8" w:rsidRPr="00E244B6" w:rsidRDefault="00E445B8" w:rsidP="00E445B8">
      <w:pPr>
        <w:rPr>
          <w:szCs w:val="24"/>
        </w:rPr>
      </w:pPr>
    </w:p>
    <w:p w14:paraId="55C578FC" w14:textId="77777777" w:rsidR="00E445B8" w:rsidRPr="00E244B6" w:rsidRDefault="00E445B8" w:rsidP="00E445B8"/>
    <w:p w14:paraId="13BF31F1" w14:textId="77777777" w:rsidR="00E445B8" w:rsidRPr="00E244B6" w:rsidRDefault="00E445B8" w:rsidP="00E445B8"/>
    <w:p w14:paraId="5420FB97" w14:textId="77777777" w:rsidR="00E445B8" w:rsidRPr="00E244B6" w:rsidRDefault="00E445B8" w:rsidP="00E445B8"/>
    <w:p w14:paraId="1060A98C" w14:textId="77777777" w:rsidR="00E445B8" w:rsidRPr="00E244B6" w:rsidRDefault="00E445B8" w:rsidP="00E445B8">
      <w:pPr>
        <w:jc w:val="center"/>
        <w:rPr>
          <w:b/>
          <w:color w:val="1F497D"/>
          <w:sz w:val="32"/>
          <w:szCs w:val="32"/>
        </w:rPr>
      </w:pPr>
      <w:r w:rsidRPr="00E244B6">
        <w:rPr>
          <w:b/>
          <w:color w:val="1F497D"/>
          <w:sz w:val="32"/>
          <w:szCs w:val="32"/>
        </w:rPr>
        <w:lastRenderedPageBreak/>
        <w:t>Disclaimer</w:t>
      </w:r>
    </w:p>
    <w:p w14:paraId="67552398" w14:textId="77777777" w:rsidR="00E445B8" w:rsidRPr="00E244B6" w:rsidRDefault="00E445B8" w:rsidP="00E445B8">
      <w:pPr>
        <w:rPr>
          <w:rFonts w:eastAsia="Times New Roman" w:cs="Arial"/>
          <w:color w:val="FF0000"/>
          <w:sz w:val="20"/>
          <w:szCs w:val="20"/>
        </w:rPr>
      </w:pPr>
    </w:p>
    <w:p w14:paraId="48435FDA" w14:textId="205D9B0A" w:rsidR="00E445B8" w:rsidRPr="002745CC" w:rsidRDefault="005D12D1" w:rsidP="002745CC">
      <w:pPr>
        <w:jc w:val="center"/>
        <w:rPr>
          <w:b/>
          <w:color w:val="1F497D"/>
          <w:sz w:val="32"/>
          <w:szCs w:val="20"/>
        </w:rPr>
      </w:pPr>
      <w:r w:rsidRPr="002745CC">
        <w:rPr>
          <w:b/>
          <w:color w:val="1F497D"/>
          <w:sz w:val="32"/>
          <w:szCs w:val="20"/>
        </w:rPr>
        <w:t>Investor Panel</w:t>
      </w:r>
      <w:r w:rsidR="006344FD" w:rsidRPr="002745CC">
        <w:rPr>
          <w:b/>
          <w:color w:val="1F497D"/>
          <w:sz w:val="32"/>
          <w:szCs w:val="20"/>
        </w:rPr>
        <w:t xml:space="preserve"> </w:t>
      </w:r>
    </w:p>
    <w:p w14:paraId="5BC0FBAB" w14:textId="250C1BA3" w:rsidR="00E445B8" w:rsidRPr="00E244B6" w:rsidRDefault="00E445B8" w:rsidP="00242F53">
      <w:pPr>
        <w:spacing w:after="120" w:line="360" w:lineRule="auto"/>
        <w:jc w:val="both"/>
        <w:rPr>
          <w:rFonts w:eastAsia="Times New Roman" w:cs="Arial"/>
          <w:sz w:val="20"/>
          <w:szCs w:val="20"/>
        </w:rPr>
      </w:pPr>
      <w:r w:rsidRPr="00E244B6">
        <w:rPr>
          <w:rFonts w:eastAsia="Times New Roman" w:cs="Arial"/>
          <w:sz w:val="20"/>
          <w:szCs w:val="20"/>
        </w:rPr>
        <w:t>Th</w:t>
      </w:r>
      <w:r w:rsidR="006344FD">
        <w:rPr>
          <w:rFonts w:eastAsia="Times New Roman" w:cs="Arial"/>
          <w:sz w:val="20"/>
          <w:szCs w:val="20"/>
        </w:rPr>
        <w:t>e information provided in, and pursuant to, this</w:t>
      </w:r>
      <w:r w:rsidRPr="00E244B6">
        <w:rPr>
          <w:rFonts w:eastAsia="Times New Roman" w:cs="Arial"/>
          <w:sz w:val="20"/>
          <w:szCs w:val="20"/>
        </w:rPr>
        <w:t xml:space="preserve"> C</w:t>
      </w:r>
      <w:r w:rsidR="006344FD">
        <w:rPr>
          <w:rFonts w:eastAsia="Times New Roman" w:cs="Arial"/>
          <w:sz w:val="20"/>
          <w:szCs w:val="20"/>
        </w:rPr>
        <w:t>all for Proposal (“C</w:t>
      </w:r>
      <w:r w:rsidRPr="00E244B6">
        <w:rPr>
          <w:rFonts w:eastAsia="Times New Roman" w:cs="Arial"/>
          <w:sz w:val="20"/>
          <w:szCs w:val="20"/>
        </w:rPr>
        <w:t>FP</w:t>
      </w:r>
      <w:r w:rsidR="006344FD">
        <w:rPr>
          <w:rFonts w:eastAsia="Times New Roman" w:cs="Arial"/>
          <w:sz w:val="20"/>
          <w:szCs w:val="20"/>
        </w:rPr>
        <w:t>”), in whatever format</w:t>
      </w:r>
      <w:r w:rsidR="002745CC">
        <w:rPr>
          <w:rFonts w:eastAsia="Times New Roman" w:cs="Arial"/>
          <w:sz w:val="20"/>
          <w:szCs w:val="20"/>
        </w:rPr>
        <w:t xml:space="preserve"> </w:t>
      </w:r>
      <w:r w:rsidRPr="00E244B6">
        <w:rPr>
          <w:rFonts w:eastAsia="Times New Roman" w:cs="Arial"/>
          <w:sz w:val="20"/>
          <w:szCs w:val="20"/>
        </w:rPr>
        <w:t xml:space="preserve">is not an agreement and </w:t>
      </w:r>
      <w:r w:rsidR="006344FD">
        <w:rPr>
          <w:rFonts w:eastAsia="Times New Roman" w:cs="Arial"/>
          <w:sz w:val="20"/>
          <w:szCs w:val="20"/>
        </w:rPr>
        <w:t xml:space="preserve">does not constitute an </w:t>
      </w:r>
      <w:r w:rsidRPr="00E244B6">
        <w:rPr>
          <w:rFonts w:eastAsia="Times New Roman" w:cs="Arial"/>
          <w:sz w:val="20"/>
          <w:szCs w:val="20"/>
        </w:rPr>
        <w:t xml:space="preserve">offer by the </w:t>
      </w:r>
      <w:r w:rsidR="006344FD">
        <w:rPr>
          <w:rFonts w:eastAsia="Times New Roman" w:cs="Arial"/>
          <w:sz w:val="20"/>
          <w:szCs w:val="20"/>
        </w:rPr>
        <w:t xml:space="preserve">corporate and institutional investors (“the </w:t>
      </w:r>
      <w:r w:rsidR="005D12D1">
        <w:rPr>
          <w:rFonts w:eastAsia="Times New Roman" w:cs="Arial"/>
          <w:sz w:val="20"/>
          <w:szCs w:val="20"/>
        </w:rPr>
        <w:t>Investor Panel</w:t>
      </w:r>
      <w:r w:rsidR="006344FD">
        <w:rPr>
          <w:rFonts w:eastAsia="Times New Roman" w:cs="Arial"/>
          <w:sz w:val="20"/>
          <w:szCs w:val="20"/>
        </w:rPr>
        <w:t xml:space="preserve">”) </w:t>
      </w:r>
      <w:r w:rsidRPr="00E244B6">
        <w:rPr>
          <w:rFonts w:eastAsia="Times New Roman" w:cs="Arial"/>
          <w:sz w:val="20"/>
          <w:szCs w:val="20"/>
        </w:rPr>
        <w:t>to the qualified Applicants</w:t>
      </w:r>
      <w:r w:rsidR="001238DB">
        <w:rPr>
          <w:rFonts w:eastAsia="Times New Roman" w:cs="Arial"/>
          <w:sz w:val="20"/>
          <w:szCs w:val="20"/>
        </w:rPr>
        <w:t xml:space="preserve"> </w:t>
      </w:r>
      <w:r w:rsidRPr="00E244B6">
        <w:rPr>
          <w:rFonts w:eastAsia="Times New Roman" w:cs="Arial"/>
          <w:sz w:val="20"/>
          <w:szCs w:val="20"/>
        </w:rPr>
        <w:t>or any other person. The purpose of this CFP is to provide interested parties with information that may be useful to them in submitting their Proposal</w:t>
      </w:r>
      <w:r w:rsidR="008612CF" w:rsidRPr="00E244B6">
        <w:rPr>
          <w:rFonts w:eastAsia="Times New Roman" w:cs="Arial"/>
          <w:sz w:val="20"/>
          <w:szCs w:val="20"/>
        </w:rPr>
        <w:t xml:space="preserve">. </w:t>
      </w:r>
      <w:r w:rsidRPr="00E244B6">
        <w:rPr>
          <w:rFonts w:eastAsia="Times New Roman" w:cs="Arial"/>
          <w:sz w:val="20"/>
          <w:szCs w:val="20"/>
        </w:rPr>
        <w:t>This CFP does not purport to contain all the information that each Proposal may require</w:t>
      </w:r>
      <w:r w:rsidR="008612CF" w:rsidRPr="00E244B6">
        <w:rPr>
          <w:rFonts w:eastAsia="Times New Roman" w:cs="Arial"/>
          <w:sz w:val="20"/>
          <w:szCs w:val="20"/>
        </w:rPr>
        <w:t xml:space="preserve">. </w:t>
      </w:r>
      <w:r w:rsidRPr="00E244B6">
        <w:rPr>
          <w:rFonts w:eastAsia="Times New Roman" w:cs="Arial"/>
          <w:sz w:val="20"/>
          <w:szCs w:val="20"/>
        </w:rPr>
        <w:t>Each Applicant prior to presenting its Proposal should</w:t>
      </w:r>
      <w:r w:rsidR="00A26281">
        <w:rPr>
          <w:rFonts w:eastAsia="Times New Roman" w:cs="Arial"/>
          <w:sz w:val="20"/>
          <w:szCs w:val="20"/>
        </w:rPr>
        <w:t>, therefore,</w:t>
      </w:r>
      <w:r w:rsidRPr="00E244B6">
        <w:rPr>
          <w:rFonts w:eastAsia="Times New Roman" w:cs="Arial"/>
          <w:sz w:val="20"/>
          <w:szCs w:val="20"/>
        </w:rPr>
        <w:t xml:space="preserve"> do its own due diligence by conducting its own investigations and analysis.</w:t>
      </w:r>
    </w:p>
    <w:p w14:paraId="1583C848" w14:textId="4D9AC498" w:rsidR="00E445B8" w:rsidRPr="00E244B6" w:rsidRDefault="00E445B8" w:rsidP="00242F53">
      <w:pPr>
        <w:spacing w:after="120" w:line="360" w:lineRule="auto"/>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accepts no responsibility for the accuracy or </w:t>
      </w:r>
      <w:r w:rsidR="0057768F">
        <w:rPr>
          <w:rFonts w:eastAsia="Times New Roman" w:cs="Arial"/>
          <w:sz w:val="20"/>
          <w:szCs w:val="20"/>
        </w:rPr>
        <w:t xml:space="preserve">completeness of the information provided </w:t>
      </w:r>
      <w:r w:rsidRPr="00E244B6">
        <w:rPr>
          <w:rFonts w:eastAsia="Times New Roman" w:cs="Arial"/>
          <w:sz w:val="20"/>
          <w:szCs w:val="20"/>
        </w:rPr>
        <w:t xml:space="preserve">or </w:t>
      </w:r>
      <w:r w:rsidR="0057768F">
        <w:rPr>
          <w:rFonts w:eastAsia="Times New Roman" w:cs="Arial"/>
          <w:sz w:val="20"/>
          <w:szCs w:val="20"/>
        </w:rPr>
        <w:t xml:space="preserve">for </w:t>
      </w:r>
      <w:r w:rsidRPr="00E244B6">
        <w:rPr>
          <w:rFonts w:eastAsia="Times New Roman" w:cs="Arial"/>
          <w:sz w:val="20"/>
          <w:szCs w:val="20"/>
        </w:rPr>
        <w:t xml:space="preserve">any interpretation or opinion on </w:t>
      </w:r>
      <w:r w:rsidR="00A26281">
        <w:rPr>
          <w:rFonts w:eastAsia="Times New Roman" w:cs="Arial"/>
          <w:sz w:val="20"/>
          <w:szCs w:val="20"/>
        </w:rPr>
        <w:t xml:space="preserve">the </w:t>
      </w:r>
      <w:r w:rsidRPr="00E244B6">
        <w:rPr>
          <w:rFonts w:eastAsia="Times New Roman" w:cs="Arial"/>
          <w:sz w:val="20"/>
          <w:szCs w:val="20"/>
        </w:rPr>
        <w:t xml:space="preserve">law expressed in this CFP and included in any documents </w:t>
      </w:r>
      <w:r w:rsidR="0057768F">
        <w:rPr>
          <w:rFonts w:eastAsia="Times New Roman" w:cs="Arial"/>
          <w:sz w:val="20"/>
          <w:szCs w:val="20"/>
        </w:rPr>
        <w:t>forming</w:t>
      </w:r>
      <w:r w:rsidRPr="00E244B6">
        <w:rPr>
          <w:rFonts w:eastAsia="Times New Roman" w:cs="Arial"/>
          <w:sz w:val="20"/>
          <w:szCs w:val="20"/>
        </w:rPr>
        <w:t xml:space="preserve"> part of this CFP.</w:t>
      </w:r>
    </w:p>
    <w:p w14:paraId="7BA740FA" w14:textId="2CFA5114" w:rsidR="00E445B8" w:rsidRPr="00E244B6" w:rsidRDefault="00E445B8" w:rsidP="00242F53">
      <w:pPr>
        <w:spacing w:after="120" w:line="360" w:lineRule="auto"/>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makes no representation or warranty and shall have no liability to any person, including any Applicant who has presented a Proposal, under any law, statute, rules or regulations, or otherwise for any loss, damage, cost or expense which may arise from or be incurred or suffered on account of anything contained in this CFP or deemed to form part of this CFP or arising in any way from participation in this CFP process.</w:t>
      </w:r>
    </w:p>
    <w:p w14:paraId="5A74BA51" w14:textId="2620F1F0" w:rsidR="00E445B8" w:rsidRPr="00E244B6" w:rsidRDefault="00E445B8" w:rsidP="00242F53">
      <w:pPr>
        <w:spacing w:after="120" w:line="360" w:lineRule="auto"/>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w:t>
      </w:r>
      <w:r w:rsidR="00EF2E8B">
        <w:rPr>
          <w:rFonts w:eastAsia="Times New Roman" w:cs="Arial"/>
          <w:sz w:val="20"/>
          <w:szCs w:val="20"/>
        </w:rPr>
        <w:t xml:space="preserve">is not obliged to but </w:t>
      </w:r>
      <w:r w:rsidRPr="00E244B6">
        <w:rPr>
          <w:rFonts w:eastAsia="Times New Roman" w:cs="Arial"/>
          <w:sz w:val="20"/>
          <w:szCs w:val="20"/>
        </w:rPr>
        <w:t>may</w:t>
      </w:r>
      <w:r w:rsidR="00EF2E8B">
        <w:rPr>
          <w:rFonts w:eastAsia="Times New Roman" w:cs="Arial"/>
          <w:sz w:val="20"/>
          <w:szCs w:val="20"/>
        </w:rPr>
        <w:t>,</w:t>
      </w:r>
      <w:r w:rsidRPr="00E244B6">
        <w:rPr>
          <w:rFonts w:eastAsia="Times New Roman" w:cs="Arial"/>
          <w:sz w:val="20"/>
          <w:szCs w:val="20"/>
        </w:rPr>
        <w:t xml:space="preserve"> in its absolute discretion, update, amend or supplement the information, assessment or assumptions contained in this CFP.</w:t>
      </w:r>
    </w:p>
    <w:p w14:paraId="4B1CAD3C" w14:textId="58EE3ACF" w:rsidR="00E445B8" w:rsidRPr="00E244B6" w:rsidRDefault="00E445B8" w:rsidP="00242F53">
      <w:pPr>
        <w:spacing w:after="120" w:line="360" w:lineRule="auto"/>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is n</w:t>
      </w:r>
      <w:r w:rsidR="00C562C4">
        <w:rPr>
          <w:rFonts w:eastAsia="Times New Roman" w:cs="Arial"/>
          <w:sz w:val="20"/>
          <w:szCs w:val="20"/>
        </w:rPr>
        <w:t>either</w:t>
      </w:r>
      <w:r w:rsidRPr="00E244B6">
        <w:rPr>
          <w:rFonts w:eastAsia="Times New Roman" w:cs="Arial"/>
          <w:sz w:val="20"/>
          <w:szCs w:val="20"/>
        </w:rPr>
        <w:t xml:space="preserve"> bound to select a</w:t>
      </w:r>
      <w:r w:rsidR="00C562C4">
        <w:rPr>
          <w:rFonts w:eastAsia="Times New Roman" w:cs="Arial"/>
          <w:sz w:val="20"/>
          <w:szCs w:val="20"/>
        </w:rPr>
        <w:t>ny</w:t>
      </w:r>
      <w:r w:rsidRPr="00E244B6">
        <w:rPr>
          <w:rFonts w:eastAsia="Times New Roman" w:cs="Arial"/>
          <w:sz w:val="20"/>
          <w:szCs w:val="20"/>
        </w:rPr>
        <w:t xml:space="preserve"> </w:t>
      </w:r>
      <w:r w:rsidR="00C562C4">
        <w:rPr>
          <w:rFonts w:eastAsia="Times New Roman" w:cs="Arial"/>
          <w:sz w:val="20"/>
          <w:szCs w:val="20"/>
        </w:rPr>
        <w:t xml:space="preserve">submitted </w:t>
      </w:r>
      <w:r w:rsidRPr="00E244B6">
        <w:rPr>
          <w:rFonts w:eastAsia="Times New Roman" w:cs="Arial"/>
          <w:sz w:val="20"/>
          <w:szCs w:val="20"/>
        </w:rPr>
        <w:t xml:space="preserve">Proposal </w:t>
      </w:r>
      <w:r w:rsidR="00C562C4">
        <w:rPr>
          <w:rFonts w:eastAsia="Times New Roman" w:cs="Arial"/>
          <w:sz w:val="20"/>
          <w:szCs w:val="20"/>
        </w:rPr>
        <w:t>n</w:t>
      </w:r>
      <w:r w:rsidRPr="00E244B6">
        <w:rPr>
          <w:rFonts w:eastAsia="Times New Roman" w:cs="Arial"/>
          <w:sz w:val="20"/>
          <w:szCs w:val="20"/>
        </w:rPr>
        <w:t xml:space="preserve">or to invest in </w:t>
      </w:r>
      <w:r w:rsidR="00C562C4">
        <w:rPr>
          <w:rFonts w:eastAsia="Times New Roman" w:cs="Arial"/>
          <w:sz w:val="20"/>
          <w:szCs w:val="20"/>
        </w:rPr>
        <w:t>any</w:t>
      </w:r>
      <w:r w:rsidR="00C562C4" w:rsidRPr="00E244B6">
        <w:rPr>
          <w:rFonts w:eastAsia="Times New Roman" w:cs="Arial"/>
          <w:sz w:val="20"/>
          <w:szCs w:val="20"/>
        </w:rPr>
        <w:t xml:space="preserve"> </w:t>
      </w:r>
      <w:r w:rsidRPr="00E244B6">
        <w:rPr>
          <w:rFonts w:eastAsia="Times New Roman" w:cs="Arial"/>
          <w:sz w:val="20"/>
          <w:szCs w:val="20"/>
        </w:rPr>
        <w:t>selected Applicant(s), as the case may be</w:t>
      </w:r>
      <w:r w:rsidR="00C562C4">
        <w:rPr>
          <w:rFonts w:eastAsia="Times New Roman" w:cs="Arial"/>
          <w:sz w:val="20"/>
          <w:szCs w:val="20"/>
        </w:rPr>
        <w:t>.</w:t>
      </w:r>
      <w:r w:rsidRPr="00E244B6">
        <w:rPr>
          <w:rFonts w:eastAsia="Times New Roman" w:cs="Arial"/>
          <w:sz w:val="20"/>
          <w:szCs w:val="20"/>
        </w:rPr>
        <w:t xml:space="preserve"> </w:t>
      </w:r>
      <w:r w:rsidR="00C562C4">
        <w:rPr>
          <w:rFonts w:eastAsia="Times New Roman" w:cs="Arial"/>
          <w:sz w:val="20"/>
          <w:szCs w:val="20"/>
        </w:rPr>
        <w:t>Furthermore, the</w:t>
      </w:r>
      <w:r w:rsidRPr="00E244B6">
        <w:rPr>
          <w:rFonts w:eastAsia="Times New Roman" w:cs="Arial"/>
          <w:sz w:val="20"/>
          <w:szCs w:val="20"/>
        </w:rPr>
        <w:t xml:space="preserve"> </w:t>
      </w:r>
      <w:r w:rsidR="005D12D1">
        <w:rPr>
          <w:rFonts w:eastAsia="Times New Roman" w:cs="Arial"/>
          <w:sz w:val="20"/>
          <w:szCs w:val="20"/>
        </w:rPr>
        <w:t>Investor Panel</w:t>
      </w:r>
      <w:r w:rsidRPr="00E244B6">
        <w:rPr>
          <w:rFonts w:eastAsia="Times New Roman" w:cs="Arial"/>
          <w:sz w:val="20"/>
          <w:szCs w:val="20"/>
        </w:rPr>
        <w:t xml:space="preserve"> reserves the right to reject all or any of the Applicants or </w:t>
      </w:r>
      <w:r w:rsidR="00C562C4">
        <w:rPr>
          <w:rFonts w:eastAsia="Times New Roman" w:cs="Arial"/>
          <w:sz w:val="20"/>
          <w:szCs w:val="20"/>
        </w:rPr>
        <w:t>their</w:t>
      </w:r>
      <w:r w:rsidRPr="00E244B6">
        <w:rPr>
          <w:rFonts w:eastAsia="Times New Roman" w:cs="Arial"/>
          <w:sz w:val="20"/>
          <w:szCs w:val="20"/>
        </w:rPr>
        <w:t xml:space="preserve"> Proposal</w:t>
      </w:r>
      <w:r w:rsidR="00C562C4">
        <w:rPr>
          <w:rFonts w:eastAsia="Times New Roman" w:cs="Arial"/>
          <w:sz w:val="20"/>
          <w:szCs w:val="20"/>
        </w:rPr>
        <w:t>s</w:t>
      </w:r>
      <w:r w:rsidRPr="00E244B6">
        <w:rPr>
          <w:rFonts w:eastAsia="Times New Roman" w:cs="Arial"/>
          <w:sz w:val="20"/>
          <w:szCs w:val="20"/>
        </w:rPr>
        <w:t xml:space="preserve"> without assigning any reason whatsoever.</w:t>
      </w:r>
    </w:p>
    <w:p w14:paraId="262EC1A6" w14:textId="74FF18BD" w:rsidR="00E445B8" w:rsidRPr="00E244B6" w:rsidRDefault="00E445B8" w:rsidP="00242F53">
      <w:pPr>
        <w:spacing w:after="120" w:line="360" w:lineRule="auto"/>
        <w:jc w:val="both"/>
        <w:rPr>
          <w:rFonts w:eastAsia="Times New Roman" w:cs="Arial"/>
          <w:sz w:val="20"/>
          <w:szCs w:val="20"/>
        </w:rPr>
      </w:pPr>
      <w:r w:rsidRPr="00E244B6">
        <w:rPr>
          <w:rFonts w:eastAsia="Times New Roman" w:cs="Arial"/>
          <w:sz w:val="20"/>
          <w:szCs w:val="20"/>
        </w:rPr>
        <w:t xml:space="preserve">The Applicant shall </w:t>
      </w:r>
      <w:r w:rsidR="00C562C4">
        <w:rPr>
          <w:rFonts w:eastAsia="Times New Roman" w:cs="Arial"/>
          <w:sz w:val="20"/>
          <w:szCs w:val="20"/>
        </w:rPr>
        <w:t xml:space="preserve">solely </w:t>
      </w:r>
      <w:r w:rsidRPr="00E244B6">
        <w:rPr>
          <w:rFonts w:eastAsia="Times New Roman" w:cs="Arial"/>
          <w:sz w:val="20"/>
          <w:szCs w:val="20"/>
        </w:rPr>
        <w:t>bear all its costs associated with or relating to the preparation and submission of its Proposal including but not limited to preparation, copying, postage, delivery fees, expenses associated with any queries</w:t>
      </w:r>
      <w:r w:rsidR="00B2187C">
        <w:rPr>
          <w:rFonts w:eastAsia="Times New Roman" w:cs="Arial"/>
          <w:sz w:val="20"/>
          <w:szCs w:val="20"/>
        </w:rPr>
        <w:t>,</w:t>
      </w:r>
      <w:r w:rsidRPr="00E244B6">
        <w:rPr>
          <w:rFonts w:eastAsia="Times New Roman" w:cs="Arial"/>
          <w:sz w:val="20"/>
          <w:szCs w:val="20"/>
        </w:rPr>
        <w:t xml:space="preserve"> or any other costs incurred in connection with or relating to its Proposal</w:t>
      </w:r>
      <w:r w:rsidR="004C2D7C" w:rsidRPr="00E244B6">
        <w:rPr>
          <w:rFonts w:eastAsia="Times New Roman" w:cs="Arial"/>
          <w:sz w:val="20"/>
          <w:szCs w:val="20"/>
        </w:rPr>
        <w:t xml:space="preserve">. </w:t>
      </w:r>
      <w:r w:rsidRPr="00E244B6">
        <w:rPr>
          <w:rFonts w:eastAsia="Times New Roman" w:cs="Arial"/>
          <w:sz w:val="20"/>
          <w:szCs w:val="20"/>
        </w:rPr>
        <w:t>All such costs and expenses shall remain</w:t>
      </w:r>
      <w:r w:rsidR="00C562C4">
        <w:rPr>
          <w:rFonts w:eastAsia="Times New Roman" w:cs="Arial"/>
          <w:sz w:val="20"/>
          <w:szCs w:val="20"/>
        </w:rPr>
        <w:t xml:space="preserve"> solely</w:t>
      </w:r>
      <w:r w:rsidRPr="00E244B6">
        <w:rPr>
          <w:rFonts w:eastAsia="Times New Roman" w:cs="Arial"/>
          <w:sz w:val="20"/>
          <w:szCs w:val="20"/>
        </w:rPr>
        <w:t xml:space="preserve"> with the Applicant and the </w:t>
      </w:r>
      <w:r w:rsidR="005D12D1">
        <w:rPr>
          <w:rFonts w:eastAsia="Times New Roman" w:cs="Arial"/>
          <w:sz w:val="20"/>
          <w:szCs w:val="20"/>
        </w:rPr>
        <w:t>Investor Panel</w:t>
      </w:r>
      <w:r w:rsidRPr="00E244B6">
        <w:rPr>
          <w:rFonts w:eastAsia="Times New Roman" w:cs="Arial"/>
          <w:sz w:val="20"/>
          <w:szCs w:val="20"/>
        </w:rPr>
        <w:t xml:space="preserve"> shall not be liable in any manner whatsoever for </w:t>
      </w:r>
      <w:r w:rsidR="00A26281">
        <w:rPr>
          <w:rFonts w:eastAsia="Times New Roman" w:cs="Arial"/>
          <w:sz w:val="20"/>
          <w:szCs w:val="20"/>
        </w:rPr>
        <w:t xml:space="preserve">the </w:t>
      </w:r>
      <w:r w:rsidR="00C562C4">
        <w:rPr>
          <w:rFonts w:eastAsia="Times New Roman" w:cs="Arial"/>
          <w:sz w:val="20"/>
          <w:szCs w:val="20"/>
        </w:rPr>
        <w:t>same,</w:t>
      </w:r>
      <w:r w:rsidRPr="00E244B6">
        <w:rPr>
          <w:rFonts w:eastAsia="Times New Roman" w:cs="Arial"/>
          <w:sz w:val="20"/>
          <w:szCs w:val="20"/>
        </w:rPr>
        <w:t xml:space="preserve"> regardless of the conduct or outcome of the selection process.</w:t>
      </w:r>
    </w:p>
    <w:p w14:paraId="6AC7B187" w14:textId="77777777" w:rsidR="00E445B8" w:rsidRPr="00E244B6" w:rsidRDefault="00E445B8" w:rsidP="00E445B8">
      <w:pPr>
        <w:jc w:val="center"/>
        <w:rPr>
          <w:rFonts w:eastAsia="MS Mincho" w:cs="Arial"/>
          <w:b/>
          <w:sz w:val="20"/>
          <w:szCs w:val="20"/>
        </w:rPr>
      </w:pPr>
    </w:p>
    <w:p w14:paraId="09F2790A" w14:textId="77777777" w:rsidR="00E445B8" w:rsidRPr="00E244B6" w:rsidRDefault="00E445B8" w:rsidP="00E445B8">
      <w:pPr>
        <w:jc w:val="center"/>
        <w:rPr>
          <w:rFonts w:cs="Arial"/>
          <w:b/>
          <w:sz w:val="20"/>
          <w:szCs w:val="20"/>
        </w:rPr>
      </w:pPr>
      <w:r w:rsidRPr="00E244B6">
        <w:rPr>
          <w:rFonts w:cs="Arial"/>
          <w:b/>
          <w:sz w:val="20"/>
          <w:szCs w:val="20"/>
        </w:rPr>
        <w:br w:type="page"/>
      </w:r>
    </w:p>
    <w:p w14:paraId="361A24D0" w14:textId="77777777" w:rsidR="00E445B8" w:rsidRPr="00E244B6" w:rsidRDefault="00E445B8" w:rsidP="00E445B8">
      <w:pPr>
        <w:jc w:val="center"/>
        <w:rPr>
          <w:rFonts w:cs="Times New Roman"/>
          <w:b/>
          <w:color w:val="1F497D"/>
          <w:sz w:val="32"/>
          <w:szCs w:val="20"/>
        </w:rPr>
      </w:pPr>
      <w:r w:rsidRPr="00E244B6">
        <w:rPr>
          <w:b/>
          <w:color w:val="1F497D"/>
          <w:sz w:val="32"/>
          <w:szCs w:val="20"/>
        </w:rPr>
        <w:lastRenderedPageBreak/>
        <w:t>Call for Proposals</w:t>
      </w:r>
    </w:p>
    <w:p w14:paraId="24031189" w14:textId="77777777" w:rsidR="00E445B8" w:rsidRPr="00E244B6" w:rsidRDefault="00E445B8" w:rsidP="00E445B8">
      <w:pPr>
        <w:pStyle w:val="Heading1"/>
        <w:keepLines w:val="0"/>
        <w:numPr>
          <w:ilvl w:val="0"/>
          <w:numId w:val="1"/>
        </w:numPr>
        <w:spacing w:before="240" w:after="60" w:line="240" w:lineRule="auto"/>
        <w:ind w:left="360"/>
        <w:rPr>
          <w:rFonts w:asciiTheme="minorHAnsi" w:hAnsiTheme="minorHAnsi"/>
          <w:color w:val="1F497D"/>
          <w:sz w:val="32"/>
          <w:szCs w:val="32"/>
        </w:rPr>
      </w:pPr>
      <w:bookmarkStart w:id="3" w:name="_Toc392698179"/>
      <w:bookmarkStart w:id="4" w:name="_Toc429390659"/>
      <w:bookmarkStart w:id="5" w:name="_Toc31010181"/>
      <w:r w:rsidRPr="00E244B6">
        <w:rPr>
          <w:rFonts w:asciiTheme="minorHAnsi" w:hAnsiTheme="minorHAnsi"/>
          <w:color w:val="1F497D"/>
        </w:rPr>
        <w:t>Introduction</w:t>
      </w:r>
      <w:bookmarkEnd w:id="3"/>
      <w:bookmarkEnd w:id="4"/>
      <w:bookmarkEnd w:id="5"/>
      <w:r w:rsidRPr="00E244B6">
        <w:rPr>
          <w:rFonts w:asciiTheme="minorHAnsi" w:hAnsiTheme="minorHAnsi"/>
          <w:color w:val="1F497D"/>
        </w:rPr>
        <w:t xml:space="preserve">  </w:t>
      </w:r>
    </w:p>
    <w:p w14:paraId="24C483AC" w14:textId="77777777" w:rsidR="00E445B8" w:rsidRPr="00E244B6" w:rsidRDefault="00E445B8" w:rsidP="00E445B8">
      <w:pPr>
        <w:pStyle w:val="Heading2"/>
        <w:numPr>
          <w:ilvl w:val="1"/>
          <w:numId w:val="1"/>
        </w:numPr>
        <w:rPr>
          <w:rFonts w:asciiTheme="minorHAnsi" w:hAnsiTheme="minorHAnsi"/>
        </w:rPr>
      </w:pPr>
      <w:bookmarkStart w:id="6" w:name="_Toc392698180"/>
      <w:bookmarkStart w:id="7" w:name="_Toc429390660"/>
      <w:bookmarkStart w:id="8" w:name="_Toc31010182"/>
      <w:r w:rsidRPr="00E244B6">
        <w:rPr>
          <w:rFonts w:asciiTheme="minorHAnsi" w:hAnsiTheme="minorHAnsi"/>
        </w:rPr>
        <w:t xml:space="preserve">Purpose of the </w:t>
      </w:r>
      <w:r w:rsidR="00DE0B96">
        <w:rPr>
          <w:rFonts w:asciiTheme="minorHAnsi" w:hAnsiTheme="minorHAnsi"/>
        </w:rPr>
        <w:t>Call for Proposals (</w:t>
      </w:r>
      <w:r w:rsidRPr="00E244B6">
        <w:rPr>
          <w:rFonts w:asciiTheme="minorHAnsi" w:hAnsiTheme="minorHAnsi"/>
        </w:rPr>
        <w:t>CFP</w:t>
      </w:r>
      <w:bookmarkEnd w:id="6"/>
      <w:bookmarkEnd w:id="7"/>
      <w:r w:rsidR="00DE0B96">
        <w:rPr>
          <w:rFonts w:asciiTheme="minorHAnsi" w:hAnsiTheme="minorHAnsi"/>
        </w:rPr>
        <w:t>)</w:t>
      </w:r>
      <w:bookmarkEnd w:id="8"/>
      <w:r w:rsidRPr="00E244B6">
        <w:rPr>
          <w:rFonts w:asciiTheme="minorHAnsi" w:hAnsiTheme="minorHAnsi"/>
        </w:rPr>
        <w:t xml:space="preserve"> </w:t>
      </w:r>
    </w:p>
    <w:p w14:paraId="00513154" w14:textId="292F0322" w:rsidR="000812BE" w:rsidRPr="004C2D7C" w:rsidRDefault="000812BE" w:rsidP="00242F53">
      <w:pPr>
        <w:pStyle w:val="NoSpacing"/>
        <w:spacing w:line="360" w:lineRule="auto"/>
        <w:ind w:left="720"/>
        <w:jc w:val="both"/>
        <w:rPr>
          <w:rFonts w:cstheme="minorHAnsi"/>
          <w:bCs/>
          <w:sz w:val="20"/>
          <w:szCs w:val="20"/>
          <w:lang w:val="en-JM"/>
        </w:rPr>
      </w:pPr>
      <w:r w:rsidRPr="004C2D7C">
        <w:rPr>
          <w:rFonts w:cstheme="minorHAnsi"/>
          <w:sz w:val="20"/>
          <w:szCs w:val="20"/>
        </w:rPr>
        <w:t xml:space="preserve">The Minister of Finance and the Public Service tabled the Social and Economic Recovery and Vaccine Programme for Jamaica, known as the SERVE Jamaica Programme, during his 2021 Budget Speech in the House of Parliament. </w:t>
      </w:r>
    </w:p>
    <w:p w14:paraId="17FD0EBB" w14:textId="77777777" w:rsidR="00DC27B7" w:rsidRPr="004C2D7C" w:rsidRDefault="00DC27B7" w:rsidP="00242F53">
      <w:pPr>
        <w:pStyle w:val="NoSpacing"/>
        <w:spacing w:line="360" w:lineRule="auto"/>
        <w:ind w:left="720"/>
        <w:jc w:val="both"/>
        <w:rPr>
          <w:rFonts w:cstheme="minorHAnsi"/>
          <w:sz w:val="20"/>
          <w:szCs w:val="20"/>
        </w:rPr>
      </w:pPr>
    </w:p>
    <w:p w14:paraId="1DB5C791" w14:textId="31539501" w:rsidR="00E65981" w:rsidRPr="004C2D7C" w:rsidRDefault="000812BE" w:rsidP="00242F53">
      <w:pPr>
        <w:pStyle w:val="NoSpacing"/>
        <w:spacing w:line="360" w:lineRule="auto"/>
        <w:ind w:left="720"/>
        <w:jc w:val="both"/>
        <w:rPr>
          <w:rFonts w:cstheme="minorHAnsi"/>
          <w:sz w:val="20"/>
          <w:szCs w:val="20"/>
        </w:rPr>
      </w:pPr>
      <w:r w:rsidRPr="004C2D7C">
        <w:rPr>
          <w:rFonts w:cstheme="minorHAnsi"/>
          <w:sz w:val="20"/>
          <w:szCs w:val="20"/>
        </w:rPr>
        <w:t>Under the theme of “</w:t>
      </w:r>
      <w:r w:rsidRPr="004C2D7C">
        <w:rPr>
          <w:rFonts w:cstheme="minorHAnsi"/>
          <w:i/>
          <w:sz w:val="20"/>
          <w:szCs w:val="20"/>
        </w:rPr>
        <w:t xml:space="preserve">Financing </w:t>
      </w:r>
      <w:r w:rsidR="004C2D7C" w:rsidRPr="004C2D7C">
        <w:rPr>
          <w:rFonts w:cstheme="minorHAnsi"/>
          <w:i/>
          <w:sz w:val="20"/>
          <w:szCs w:val="20"/>
        </w:rPr>
        <w:t>S</w:t>
      </w:r>
      <w:r w:rsidRPr="004C2D7C">
        <w:rPr>
          <w:rFonts w:cstheme="minorHAnsi"/>
          <w:i/>
          <w:sz w:val="20"/>
          <w:szCs w:val="20"/>
        </w:rPr>
        <w:t>upport for Businesses</w:t>
      </w:r>
      <w:r w:rsidRPr="004C2D7C">
        <w:rPr>
          <w:rFonts w:cstheme="minorHAnsi"/>
          <w:bCs/>
          <w:i/>
          <w:sz w:val="20"/>
          <w:szCs w:val="20"/>
        </w:rPr>
        <w:t>”</w:t>
      </w:r>
      <w:r w:rsidRPr="004C2D7C">
        <w:rPr>
          <w:rFonts w:cstheme="minorHAnsi"/>
          <w:sz w:val="20"/>
          <w:szCs w:val="20"/>
        </w:rPr>
        <w:t xml:space="preserve">, the </w:t>
      </w:r>
      <w:r w:rsidR="00E65981" w:rsidRPr="004C2D7C">
        <w:rPr>
          <w:rFonts w:cstheme="minorHAnsi"/>
          <w:sz w:val="20"/>
          <w:szCs w:val="20"/>
        </w:rPr>
        <w:t>Government of Jamaica (GOJ), through the Ministry of Finance and the Public Service</w:t>
      </w:r>
      <w:r w:rsidR="006F0243" w:rsidRPr="004C2D7C">
        <w:rPr>
          <w:rFonts w:cstheme="minorHAnsi"/>
          <w:sz w:val="20"/>
          <w:szCs w:val="20"/>
        </w:rPr>
        <w:t xml:space="preserve"> (MOFPS)</w:t>
      </w:r>
      <w:r w:rsidR="00E65981" w:rsidRPr="004C2D7C">
        <w:rPr>
          <w:rFonts w:cstheme="minorHAnsi"/>
          <w:sz w:val="20"/>
          <w:szCs w:val="20"/>
        </w:rPr>
        <w:t xml:space="preserve">, has </w:t>
      </w:r>
      <w:r w:rsidR="00DC27B7" w:rsidRPr="004C2D7C">
        <w:rPr>
          <w:rFonts w:cstheme="minorHAnsi"/>
          <w:sz w:val="20"/>
          <w:szCs w:val="20"/>
        </w:rPr>
        <w:t>mad</w:t>
      </w:r>
      <w:r w:rsidR="00E65981" w:rsidRPr="004C2D7C">
        <w:rPr>
          <w:rFonts w:cstheme="minorHAnsi"/>
          <w:sz w:val="20"/>
          <w:szCs w:val="20"/>
        </w:rPr>
        <w:t>e funding of some J$2</w:t>
      </w:r>
      <w:r w:rsidR="00E51F60" w:rsidRPr="004C2D7C">
        <w:rPr>
          <w:rFonts w:cstheme="minorHAnsi"/>
          <w:sz w:val="20"/>
          <w:szCs w:val="20"/>
        </w:rPr>
        <w:t xml:space="preserve"> b</w:t>
      </w:r>
      <w:r w:rsidR="00E65981" w:rsidRPr="004C2D7C">
        <w:rPr>
          <w:rFonts w:cstheme="minorHAnsi"/>
          <w:sz w:val="20"/>
          <w:szCs w:val="20"/>
        </w:rPr>
        <w:t>illion</w:t>
      </w:r>
      <w:r w:rsidR="00DC27B7" w:rsidRPr="004C2D7C">
        <w:rPr>
          <w:rFonts w:cstheme="minorHAnsi"/>
          <w:sz w:val="20"/>
          <w:szCs w:val="20"/>
        </w:rPr>
        <w:t xml:space="preserve"> available to the DBJ</w:t>
      </w:r>
      <w:r w:rsidR="00E65981" w:rsidRPr="004C2D7C">
        <w:rPr>
          <w:rFonts w:cstheme="minorHAnsi"/>
          <w:sz w:val="20"/>
          <w:szCs w:val="20"/>
        </w:rPr>
        <w:t xml:space="preserve"> for investment in private equity funds investing in SMEs</w:t>
      </w:r>
      <w:r w:rsidR="00046060" w:rsidRPr="004C2D7C">
        <w:rPr>
          <w:rFonts w:cstheme="minorHAnsi"/>
          <w:sz w:val="20"/>
          <w:szCs w:val="20"/>
        </w:rPr>
        <w:t>, in Jamaica</w:t>
      </w:r>
      <w:r w:rsidR="00E65981" w:rsidRPr="004C2D7C">
        <w:rPr>
          <w:rFonts w:cstheme="minorHAnsi"/>
          <w:sz w:val="20"/>
          <w:szCs w:val="20"/>
        </w:rPr>
        <w:t>.</w:t>
      </w:r>
    </w:p>
    <w:p w14:paraId="64E66A2F" w14:textId="77777777" w:rsidR="00E65981" w:rsidRPr="004C2D7C" w:rsidRDefault="00E65981" w:rsidP="00321F0C">
      <w:pPr>
        <w:pStyle w:val="LightGrid-Accent31"/>
        <w:spacing w:after="200" w:line="360" w:lineRule="auto"/>
        <w:jc w:val="both"/>
        <w:rPr>
          <w:rFonts w:asciiTheme="minorHAnsi" w:hAnsiTheme="minorHAnsi" w:cstheme="minorHAnsi"/>
          <w:sz w:val="20"/>
          <w:szCs w:val="20"/>
        </w:rPr>
      </w:pPr>
    </w:p>
    <w:p w14:paraId="6B70DD3D" w14:textId="18C18394" w:rsidR="00E65981" w:rsidRPr="004C2D7C" w:rsidRDefault="00E65981" w:rsidP="00321F0C">
      <w:pPr>
        <w:pStyle w:val="LightGrid-Accent31"/>
        <w:spacing w:after="200" w:line="360" w:lineRule="auto"/>
        <w:jc w:val="both"/>
        <w:rPr>
          <w:rFonts w:asciiTheme="minorHAnsi" w:hAnsiTheme="minorHAnsi" w:cstheme="minorHAnsi"/>
          <w:sz w:val="20"/>
          <w:szCs w:val="20"/>
        </w:rPr>
      </w:pPr>
      <w:r w:rsidRPr="004C2D7C">
        <w:rPr>
          <w:rFonts w:asciiTheme="minorHAnsi" w:hAnsiTheme="minorHAnsi" w:cstheme="minorHAnsi"/>
          <w:sz w:val="20"/>
          <w:szCs w:val="20"/>
        </w:rPr>
        <w:t xml:space="preserve">The DBJ is </w:t>
      </w:r>
      <w:r w:rsidR="00DC27B7" w:rsidRPr="004C2D7C">
        <w:rPr>
          <w:rFonts w:asciiTheme="minorHAnsi" w:hAnsiTheme="minorHAnsi" w:cstheme="minorHAnsi"/>
          <w:sz w:val="20"/>
          <w:szCs w:val="20"/>
        </w:rPr>
        <w:t xml:space="preserve">charged with the responsibility </w:t>
      </w:r>
      <w:r w:rsidRPr="004C2D7C">
        <w:rPr>
          <w:rFonts w:asciiTheme="minorHAnsi" w:hAnsiTheme="minorHAnsi" w:cstheme="minorHAnsi"/>
          <w:sz w:val="20"/>
          <w:szCs w:val="20"/>
        </w:rPr>
        <w:t>to utilize these resources to invest in at least two (2) SME Funds, managed by eligible private equity fund managers, selected through a Call for Proposals (CFP)</w:t>
      </w:r>
      <w:r w:rsidR="004C2D7C" w:rsidRPr="004C2D7C">
        <w:rPr>
          <w:rFonts w:asciiTheme="minorHAnsi" w:hAnsiTheme="minorHAnsi" w:cstheme="minorHAnsi"/>
          <w:sz w:val="20"/>
          <w:szCs w:val="20"/>
        </w:rPr>
        <w:t xml:space="preserve">. </w:t>
      </w:r>
      <w:r w:rsidRPr="004C2D7C">
        <w:rPr>
          <w:rFonts w:asciiTheme="minorHAnsi" w:hAnsiTheme="minorHAnsi" w:cstheme="minorHAnsi"/>
          <w:sz w:val="20"/>
          <w:szCs w:val="20"/>
          <w:lang w:val="en-JM"/>
        </w:rPr>
        <w:t>The selected fund managers are expected to raise funding from other private capital sources, of at least twice the value of funds invested by the DBJ</w:t>
      </w:r>
      <w:r w:rsidR="004C2D7C" w:rsidRPr="004C2D7C">
        <w:rPr>
          <w:rFonts w:asciiTheme="minorHAnsi" w:hAnsiTheme="minorHAnsi" w:cstheme="minorHAnsi"/>
          <w:sz w:val="20"/>
          <w:szCs w:val="20"/>
          <w:lang w:val="en-JM"/>
        </w:rPr>
        <w:t xml:space="preserve">. </w:t>
      </w:r>
      <w:r w:rsidRPr="004C2D7C">
        <w:rPr>
          <w:rFonts w:asciiTheme="minorHAnsi" w:hAnsiTheme="minorHAnsi" w:cstheme="minorHAnsi"/>
          <w:sz w:val="20"/>
          <w:szCs w:val="20"/>
          <w:lang w:val="en-JM"/>
        </w:rPr>
        <w:t>In that regard, t</w:t>
      </w:r>
      <w:r w:rsidRPr="004C2D7C">
        <w:rPr>
          <w:rFonts w:asciiTheme="minorHAnsi" w:hAnsiTheme="minorHAnsi" w:cstheme="minorHAnsi"/>
          <w:sz w:val="20"/>
          <w:szCs w:val="20"/>
        </w:rPr>
        <w:t>he J$2</w:t>
      </w:r>
      <w:r w:rsidR="00E51F60" w:rsidRPr="004C2D7C">
        <w:rPr>
          <w:rFonts w:asciiTheme="minorHAnsi" w:hAnsiTheme="minorHAnsi" w:cstheme="minorHAnsi"/>
          <w:sz w:val="20"/>
          <w:szCs w:val="20"/>
        </w:rPr>
        <w:t xml:space="preserve"> billion</w:t>
      </w:r>
      <w:r w:rsidRPr="004C2D7C">
        <w:rPr>
          <w:rFonts w:asciiTheme="minorHAnsi" w:hAnsiTheme="minorHAnsi" w:cstheme="minorHAnsi"/>
          <w:sz w:val="20"/>
          <w:szCs w:val="20"/>
        </w:rPr>
        <w:t xml:space="preserve"> will be used to leverage, at a minimum, an additional J$4</w:t>
      </w:r>
      <w:r w:rsidR="00E51F60" w:rsidRPr="004C2D7C">
        <w:rPr>
          <w:rFonts w:asciiTheme="minorHAnsi" w:hAnsiTheme="minorHAnsi" w:cstheme="minorHAnsi"/>
          <w:sz w:val="20"/>
          <w:szCs w:val="20"/>
        </w:rPr>
        <w:t xml:space="preserve"> billion</w:t>
      </w:r>
      <w:r w:rsidRPr="004C2D7C">
        <w:rPr>
          <w:rFonts w:asciiTheme="minorHAnsi" w:hAnsiTheme="minorHAnsi" w:cstheme="minorHAnsi"/>
          <w:sz w:val="20"/>
          <w:szCs w:val="20"/>
        </w:rPr>
        <w:t xml:space="preserve"> in private capital resulting in, at least, J$6</w:t>
      </w:r>
      <w:r w:rsidR="00E51F60" w:rsidRPr="004C2D7C">
        <w:rPr>
          <w:rFonts w:asciiTheme="minorHAnsi" w:hAnsiTheme="minorHAnsi" w:cstheme="minorHAnsi"/>
          <w:sz w:val="20"/>
          <w:szCs w:val="20"/>
        </w:rPr>
        <w:t xml:space="preserve"> billion</w:t>
      </w:r>
      <w:r w:rsidRPr="004C2D7C">
        <w:rPr>
          <w:rFonts w:asciiTheme="minorHAnsi" w:hAnsiTheme="minorHAnsi" w:cstheme="minorHAnsi"/>
          <w:sz w:val="20"/>
          <w:szCs w:val="20"/>
        </w:rPr>
        <w:t xml:space="preserve"> in private equity available for investments in SMEs.</w:t>
      </w:r>
    </w:p>
    <w:p w14:paraId="69AE0F1D" w14:textId="77777777" w:rsidR="00DC27B7" w:rsidRPr="004C2D7C" w:rsidRDefault="00DC27B7" w:rsidP="00321F0C">
      <w:pPr>
        <w:pStyle w:val="LightGrid-Accent31"/>
        <w:spacing w:after="200" w:line="360" w:lineRule="auto"/>
        <w:jc w:val="both"/>
        <w:rPr>
          <w:rFonts w:asciiTheme="minorHAnsi" w:hAnsiTheme="minorHAnsi" w:cstheme="minorHAnsi"/>
          <w:sz w:val="20"/>
          <w:szCs w:val="20"/>
        </w:rPr>
      </w:pPr>
    </w:p>
    <w:p w14:paraId="167C270C" w14:textId="66FE052C" w:rsidR="00E445B8" w:rsidRPr="004C2D7C" w:rsidRDefault="00A26281" w:rsidP="00321F0C">
      <w:pPr>
        <w:pStyle w:val="LightGrid-Accent31"/>
        <w:spacing w:after="200" w:line="360" w:lineRule="auto"/>
        <w:jc w:val="both"/>
        <w:rPr>
          <w:rFonts w:asciiTheme="minorHAnsi" w:hAnsiTheme="minorHAnsi" w:cstheme="minorHAnsi"/>
          <w:sz w:val="20"/>
          <w:szCs w:val="20"/>
        </w:rPr>
      </w:pPr>
      <w:r w:rsidRPr="004C2D7C">
        <w:rPr>
          <w:rFonts w:asciiTheme="minorHAnsi" w:hAnsiTheme="minorHAnsi" w:cstheme="minorHAnsi"/>
          <w:sz w:val="20"/>
          <w:szCs w:val="20"/>
        </w:rPr>
        <w:t xml:space="preserve">The </w:t>
      </w:r>
      <w:r w:rsidR="00E65981" w:rsidRPr="004C2D7C">
        <w:rPr>
          <w:rFonts w:asciiTheme="minorHAnsi" w:hAnsiTheme="minorHAnsi" w:cstheme="minorHAnsi"/>
          <w:sz w:val="20"/>
          <w:szCs w:val="20"/>
        </w:rPr>
        <w:t xml:space="preserve">CFP will be spearheaded by the </w:t>
      </w:r>
      <w:r w:rsidR="00202A82" w:rsidRPr="004C2D7C">
        <w:rPr>
          <w:rFonts w:asciiTheme="minorHAnsi" w:hAnsiTheme="minorHAnsi" w:cstheme="minorHAnsi"/>
          <w:sz w:val="20"/>
          <w:szCs w:val="20"/>
        </w:rPr>
        <w:t>DBJ</w:t>
      </w:r>
      <w:r w:rsidR="00E65981" w:rsidRPr="004C2D7C">
        <w:rPr>
          <w:rFonts w:asciiTheme="minorHAnsi" w:hAnsiTheme="minorHAnsi" w:cstheme="minorHAnsi"/>
          <w:sz w:val="20"/>
          <w:szCs w:val="20"/>
        </w:rPr>
        <w:t>, as the</w:t>
      </w:r>
      <w:r w:rsidR="00202A82" w:rsidRPr="004C2D7C">
        <w:rPr>
          <w:rFonts w:asciiTheme="minorHAnsi" w:hAnsiTheme="minorHAnsi" w:cstheme="minorHAnsi"/>
          <w:sz w:val="20"/>
          <w:szCs w:val="20"/>
        </w:rPr>
        <w:t xml:space="preserve"> lead anchor investor</w:t>
      </w:r>
      <w:r w:rsidR="00E65981" w:rsidRPr="004C2D7C">
        <w:rPr>
          <w:rFonts w:asciiTheme="minorHAnsi" w:hAnsiTheme="minorHAnsi" w:cstheme="minorHAnsi"/>
          <w:sz w:val="20"/>
          <w:szCs w:val="20"/>
        </w:rPr>
        <w:t xml:space="preserve">, while other potentially interested investors, </w:t>
      </w:r>
      <w:r w:rsidR="00F84F51" w:rsidRPr="004C2D7C">
        <w:rPr>
          <w:rFonts w:asciiTheme="minorHAnsi" w:hAnsiTheme="minorHAnsi" w:cstheme="minorHAnsi"/>
          <w:sz w:val="20"/>
          <w:szCs w:val="20"/>
        </w:rPr>
        <w:t xml:space="preserve">who along with the DBJ will be </w:t>
      </w:r>
      <w:r w:rsidR="00E65981" w:rsidRPr="004C2D7C">
        <w:rPr>
          <w:rFonts w:asciiTheme="minorHAnsi" w:hAnsiTheme="minorHAnsi" w:cstheme="minorHAnsi"/>
          <w:sz w:val="20"/>
          <w:szCs w:val="20"/>
        </w:rPr>
        <w:t xml:space="preserve">collectively referred to as </w:t>
      </w:r>
      <w:r w:rsidR="00202A82" w:rsidRPr="004C2D7C">
        <w:rPr>
          <w:rFonts w:asciiTheme="minorHAnsi" w:hAnsiTheme="minorHAnsi" w:cstheme="minorHAnsi"/>
          <w:sz w:val="20"/>
          <w:szCs w:val="20"/>
        </w:rPr>
        <w:t xml:space="preserve">the </w:t>
      </w:r>
      <w:r w:rsidR="005D12D1" w:rsidRPr="004C2D7C">
        <w:rPr>
          <w:rFonts w:asciiTheme="minorHAnsi" w:hAnsiTheme="minorHAnsi" w:cstheme="minorHAnsi"/>
          <w:b/>
          <w:bCs/>
          <w:i/>
          <w:iCs/>
          <w:sz w:val="20"/>
          <w:szCs w:val="20"/>
        </w:rPr>
        <w:t xml:space="preserve">Investor </w:t>
      </w:r>
      <w:r w:rsidR="00797C44" w:rsidRPr="004C2D7C">
        <w:rPr>
          <w:rFonts w:asciiTheme="minorHAnsi" w:hAnsiTheme="minorHAnsi" w:cstheme="minorHAnsi"/>
          <w:b/>
          <w:bCs/>
          <w:i/>
          <w:iCs/>
          <w:sz w:val="20"/>
          <w:szCs w:val="20"/>
        </w:rPr>
        <w:t>Panel</w:t>
      </w:r>
      <w:r w:rsidR="00797C44" w:rsidRPr="004C2D7C">
        <w:rPr>
          <w:rFonts w:asciiTheme="minorHAnsi" w:hAnsiTheme="minorHAnsi" w:cstheme="minorHAnsi"/>
          <w:sz w:val="20"/>
          <w:szCs w:val="20"/>
        </w:rPr>
        <w:t xml:space="preserve">, </w:t>
      </w:r>
      <w:r w:rsidR="001C0209" w:rsidRPr="004C2D7C">
        <w:rPr>
          <w:rFonts w:asciiTheme="minorHAnsi" w:hAnsiTheme="minorHAnsi" w:cstheme="minorHAnsi"/>
          <w:sz w:val="20"/>
          <w:szCs w:val="20"/>
        </w:rPr>
        <w:t xml:space="preserve">will join in the process of evaluation and selection </w:t>
      </w:r>
      <w:r w:rsidR="004C2D7C" w:rsidRPr="004C2D7C">
        <w:rPr>
          <w:rFonts w:asciiTheme="minorHAnsi" w:hAnsiTheme="minorHAnsi" w:cstheme="minorHAnsi"/>
          <w:sz w:val="20"/>
          <w:szCs w:val="20"/>
        </w:rPr>
        <w:t>of two</w:t>
      </w:r>
      <w:r w:rsidR="006F0243" w:rsidRPr="004C2D7C">
        <w:rPr>
          <w:rFonts w:asciiTheme="minorHAnsi" w:hAnsiTheme="minorHAnsi" w:cstheme="minorHAnsi"/>
          <w:sz w:val="20"/>
          <w:szCs w:val="20"/>
        </w:rPr>
        <w:t xml:space="preserve"> (2) </w:t>
      </w:r>
      <w:r w:rsidR="00DE0B96" w:rsidRPr="004C2D7C">
        <w:rPr>
          <w:rFonts w:asciiTheme="minorHAnsi" w:hAnsiTheme="minorHAnsi" w:cstheme="minorHAnsi"/>
          <w:sz w:val="20"/>
          <w:szCs w:val="20"/>
        </w:rPr>
        <w:t>Fund Manager</w:t>
      </w:r>
      <w:r w:rsidR="00C865FC" w:rsidRPr="004C2D7C">
        <w:rPr>
          <w:rFonts w:asciiTheme="minorHAnsi" w:hAnsiTheme="minorHAnsi" w:cstheme="minorHAnsi"/>
          <w:sz w:val="20"/>
          <w:szCs w:val="20"/>
        </w:rPr>
        <w:t>s</w:t>
      </w:r>
      <w:r w:rsidR="00DE0B96" w:rsidRPr="004C2D7C">
        <w:rPr>
          <w:rFonts w:asciiTheme="minorHAnsi" w:hAnsiTheme="minorHAnsi" w:cstheme="minorHAnsi"/>
          <w:sz w:val="20"/>
          <w:szCs w:val="20"/>
        </w:rPr>
        <w:t xml:space="preserve"> for the </w:t>
      </w:r>
      <w:r w:rsidR="00046060" w:rsidRPr="004C2D7C">
        <w:rPr>
          <w:rFonts w:asciiTheme="minorHAnsi" w:hAnsiTheme="minorHAnsi" w:cstheme="minorHAnsi"/>
          <w:sz w:val="20"/>
          <w:szCs w:val="20"/>
        </w:rPr>
        <w:t>e</w:t>
      </w:r>
      <w:r w:rsidR="00DE0B96" w:rsidRPr="004C2D7C">
        <w:rPr>
          <w:rFonts w:asciiTheme="minorHAnsi" w:hAnsiTheme="minorHAnsi" w:cstheme="minorHAnsi"/>
          <w:sz w:val="20"/>
          <w:szCs w:val="20"/>
        </w:rPr>
        <w:t xml:space="preserve">stablishment and </w:t>
      </w:r>
      <w:r w:rsidR="00046060" w:rsidRPr="004C2D7C">
        <w:rPr>
          <w:rFonts w:asciiTheme="minorHAnsi" w:hAnsiTheme="minorHAnsi" w:cstheme="minorHAnsi"/>
          <w:sz w:val="20"/>
          <w:szCs w:val="20"/>
        </w:rPr>
        <w:t>m</w:t>
      </w:r>
      <w:r w:rsidR="00DE0B96" w:rsidRPr="004C2D7C">
        <w:rPr>
          <w:rFonts w:asciiTheme="minorHAnsi" w:hAnsiTheme="minorHAnsi" w:cstheme="minorHAnsi"/>
          <w:sz w:val="20"/>
          <w:szCs w:val="20"/>
        </w:rPr>
        <w:t xml:space="preserve">anagement of </w:t>
      </w:r>
      <w:r w:rsidR="006F0243" w:rsidRPr="004C2D7C">
        <w:rPr>
          <w:rFonts w:asciiTheme="minorHAnsi" w:hAnsiTheme="minorHAnsi" w:cstheme="minorHAnsi"/>
          <w:sz w:val="20"/>
          <w:szCs w:val="20"/>
        </w:rPr>
        <w:t xml:space="preserve">two (2) </w:t>
      </w:r>
      <w:r w:rsidR="00DE0B96" w:rsidRPr="004C2D7C">
        <w:rPr>
          <w:rFonts w:asciiTheme="minorHAnsi" w:hAnsiTheme="minorHAnsi" w:cstheme="minorHAnsi"/>
          <w:sz w:val="20"/>
          <w:szCs w:val="20"/>
        </w:rPr>
        <w:t>Small and Medium Enterprises (SME) Fund</w:t>
      </w:r>
      <w:r w:rsidR="00C865FC" w:rsidRPr="004C2D7C">
        <w:rPr>
          <w:rFonts w:asciiTheme="minorHAnsi" w:hAnsiTheme="minorHAnsi" w:cstheme="minorHAnsi"/>
          <w:sz w:val="20"/>
          <w:szCs w:val="20"/>
        </w:rPr>
        <w:t>s</w:t>
      </w:r>
      <w:r w:rsidR="00C83BA3" w:rsidRPr="004C2D7C">
        <w:rPr>
          <w:rFonts w:asciiTheme="minorHAnsi" w:hAnsiTheme="minorHAnsi" w:cstheme="minorHAnsi"/>
          <w:sz w:val="20"/>
          <w:szCs w:val="20"/>
        </w:rPr>
        <w:t>,</w:t>
      </w:r>
      <w:r w:rsidR="00F62C45" w:rsidRPr="004C2D7C">
        <w:rPr>
          <w:rFonts w:asciiTheme="minorHAnsi" w:hAnsiTheme="minorHAnsi" w:cstheme="minorHAnsi"/>
          <w:sz w:val="20"/>
          <w:szCs w:val="20"/>
        </w:rPr>
        <w:t xml:space="preserve"> </w:t>
      </w:r>
      <w:r w:rsidR="00E445B8" w:rsidRPr="004C2D7C">
        <w:rPr>
          <w:rFonts w:asciiTheme="minorHAnsi" w:hAnsiTheme="minorHAnsi" w:cstheme="minorHAnsi"/>
          <w:sz w:val="20"/>
          <w:szCs w:val="20"/>
        </w:rPr>
        <w:t>in Jamaica</w:t>
      </w:r>
      <w:r w:rsidR="004C2D7C" w:rsidRPr="004C2D7C">
        <w:rPr>
          <w:rFonts w:asciiTheme="minorHAnsi" w:hAnsiTheme="minorHAnsi" w:cstheme="minorHAnsi"/>
          <w:sz w:val="20"/>
          <w:szCs w:val="20"/>
        </w:rPr>
        <w:t xml:space="preserve">. </w:t>
      </w:r>
      <w:r w:rsidR="00E445B8" w:rsidRPr="004C2D7C">
        <w:rPr>
          <w:rFonts w:asciiTheme="minorHAnsi" w:hAnsiTheme="minorHAnsi" w:cstheme="minorHAnsi"/>
          <w:sz w:val="20"/>
          <w:szCs w:val="20"/>
        </w:rPr>
        <w:t>Applicants</w:t>
      </w:r>
      <w:r w:rsidR="00F80BE1" w:rsidRPr="004C2D7C">
        <w:rPr>
          <w:rFonts w:asciiTheme="minorHAnsi" w:hAnsiTheme="minorHAnsi" w:cstheme="minorHAnsi"/>
          <w:sz w:val="20"/>
          <w:szCs w:val="20"/>
        </w:rPr>
        <w:t xml:space="preserve"> for the position of Fund Manager</w:t>
      </w:r>
      <w:r w:rsidR="00E445B8" w:rsidRPr="004C2D7C">
        <w:rPr>
          <w:rFonts w:asciiTheme="minorHAnsi" w:hAnsiTheme="minorHAnsi" w:cstheme="minorHAnsi"/>
          <w:sz w:val="20"/>
          <w:szCs w:val="20"/>
        </w:rPr>
        <w:t xml:space="preserve"> are invited to present proposals (the “</w:t>
      </w:r>
      <w:r w:rsidR="00E445B8" w:rsidRPr="004C2D7C">
        <w:rPr>
          <w:rFonts w:asciiTheme="minorHAnsi" w:hAnsiTheme="minorHAnsi" w:cstheme="minorHAnsi"/>
          <w:b/>
          <w:sz w:val="20"/>
          <w:szCs w:val="20"/>
        </w:rPr>
        <w:t>Proposal</w:t>
      </w:r>
      <w:r w:rsidR="00E445B8" w:rsidRPr="004C2D7C">
        <w:rPr>
          <w:rFonts w:asciiTheme="minorHAnsi" w:hAnsiTheme="minorHAnsi" w:cstheme="minorHAnsi"/>
          <w:sz w:val="20"/>
          <w:szCs w:val="20"/>
        </w:rPr>
        <w:t xml:space="preserve">”) to the </w:t>
      </w:r>
      <w:r w:rsidR="005D12D1" w:rsidRPr="004C2D7C">
        <w:rPr>
          <w:rFonts w:asciiTheme="minorHAnsi" w:hAnsiTheme="minorHAnsi" w:cstheme="minorHAnsi"/>
          <w:sz w:val="20"/>
          <w:szCs w:val="20"/>
        </w:rPr>
        <w:t>Investor Panel</w:t>
      </w:r>
      <w:r w:rsidR="00E445B8" w:rsidRPr="004C2D7C">
        <w:rPr>
          <w:rFonts w:asciiTheme="minorHAnsi" w:hAnsiTheme="minorHAnsi" w:cstheme="minorHAnsi"/>
          <w:sz w:val="20"/>
          <w:szCs w:val="20"/>
        </w:rPr>
        <w:t xml:space="preserve"> in accordance with the requirements described in this CFP.</w:t>
      </w:r>
    </w:p>
    <w:p w14:paraId="33F2AC2F" w14:textId="77777777" w:rsidR="00E445B8" w:rsidRPr="004C2D7C" w:rsidRDefault="00E445B8" w:rsidP="00E445B8">
      <w:pPr>
        <w:pStyle w:val="Heading2"/>
        <w:numPr>
          <w:ilvl w:val="1"/>
          <w:numId w:val="1"/>
        </w:numPr>
        <w:rPr>
          <w:rFonts w:asciiTheme="minorHAnsi" w:hAnsiTheme="minorHAnsi" w:cstheme="minorHAnsi"/>
          <w:sz w:val="20"/>
          <w:szCs w:val="20"/>
        </w:rPr>
      </w:pPr>
      <w:bookmarkStart w:id="9" w:name="_Toc392698181"/>
      <w:bookmarkStart w:id="10" w:name="_Toc429390661"/>
      <w:bookmarkStart w:id="11" w:name="_Toc31010183"/>
      <w:r w:rsidRPr="004C2D7C">
        <w:rPr>
          <w:rFonts w:asciiTheme="minorHAnsi" w:hAnsiTheme="minorHAnsi" w:cstheme="minorHAnsi"/>
          <w:sz w:val="20"/>
          <w:szCs w:val="20"/>
        </w:rPr>
        <w:t>Eligibility of Applicants</w:t>
      </w:r>
      <w:bookmarkEnd w:id="9"/>
      <w:bookmarkEnd w:id="10"/>
      <w:bookmarkEnd w:id="11"/>
    </w:p>
    <w:p w14:paraId="7FC46315" w14:textId="77777777" w:rsidR="00E445B8" w:rsidRPr="004C2D7C" w:rsidRDefault="00E445B8" w:rsidP="00E445B8">
      <w:pPr>
        <w:pStyle w:val="LightGrid-Accent31"/>
        <w:spacing w:after="200" w:line="360" w:lineRule="auto"/>
        <w:ind w:left="1440"/>
        <w:jc w:val="both"/>
        <w:rPr>
          <w:rFonts w:asciiTheme="minorHAnsi" w:hAnsiTheme="minorHAnsi" w:cstheme="minorHAnsi"/>
          <w:sz w:val="20"/>
          <w:szCs w:val="20"/>
        </w:rPr>
      </w:pPr>
    </w:p>
    <w:p w14:paraId="2C1A1EEE" w14:textId="2724D0FD" w:rsidR="00E445B8" w:rsidRDefault="0087662A" w:rsidP="00D00E92">
      <w:pPr>
        <w:pStyle w:val="LightGrid-Accent31"/>
        <w:spacing w:after="200" w:line="360" w:lineRule="auto"/>
        <w:jc w:val="both"/>
        <w:rPr>
          <w:rFonts w:asciiTheme="minorHAnsi" w:hAnsiTheme="minorHAnsi" w:cstheme="minorHAnsi"/>
          <w:color w:val="323130"/>
          <w:sz w:val="20"/>
          <w:szCs w:val="20"/>
        </w:rPr>
      </w:pPr>
      <w:r w:rsidRPr="004C2D7C">
        <w:rPr>
          <w:rFonts w:asciiTheme="minorHAnsi" w:hAnsiTheme="minorHAnsi" w:cstheme="minorHAnsi"/>
          <w:sz w:val="20"/>
          <w:szCs w:val="20"/>
        </w:rPr>
        <w:t xml:space="preserve">The Applicant must be a </w:t>
      </w:r>
      <w:r w:rsidR="00A26281" w:rsidRPr="004C2D7C">
        <w:rPr>
          <w:rFonts w:asciiTheme="minorHAnsi" w:hAnsiTheme="minorHAnsi" w:cstheme="minorHAnsi"/>
          <w:sz w:val="20"/>
          <w:szCs w:val="20"/>
        </w:rPr>
        <w:t>l</w:t>
      </w:r>
      <w:r w:rsidR="00E445B8" w:rsidRPr="004C2D7C">
        <w:rPr>
          <w:rFonts w:asciiTheme="minorHAnsi" w:hAnsiTheme="minorHAnsi" w:cstheme="minorHAnsi"/>
          <w:sz w:val="20"/>
          <w:szCs w:val="20"/>
        </w:rPr>
        <w:t xml:space="preserve">ocal </w:t>
      </w:r>
      <w:r w:rsidRPr="004C2D7C">
        <w:rPr>
          <w:rFonts w:asciiTheme="minorHAnsi" w:hAnsiTheme="minorHAnsi" w:cstheme="minorHAnsi"/>
          <w:sz w:val="20"/>
          <w:szCs w:val="20"/>
        </w:rPr>
        <w:t>or</w:t>
      </w:r>
      <w:r w:rsidR="00E445B8" w:rsidRPr="004C2D7C">
        <w:rPr>
          <w:rFonts w:asciiTheme="minorHAnsi" w:hAnsiTheme="minorHAnsi" w:cstheme="minorHAnsi"/>
          <w:sz w:val="20"/>
          <w:szCs w:val="20"/>
        </w:rPr>
        <w:t xml:space="preserve"> </w:t>
      </w:r>
      <w:r w:rsidR="00A26281" w:rsidRPr="004C2D7C">
        <w:rPr>
          <w:rFonts w:asciiTheme="minorHAnsi" w:hAnsiTheme="minorHAnsi" w:cstheme="minorHAnsi"/>
          <w:sz w:val="20"/>
          <w:szCs w:val="20"/>
        </w:rPr>
        <w:t>i</w:t>
      </w:r>
      <w:r w:rsidR="00E445B8" w:rsidRPr="004C2D7C">
        <w:rPr>
          <w:rFonts w:asciiTheme="minorHAnsi" w:hAnsiTheme="minorHAnsi" w:cstheme="minorHAnsi"/>
          <w:sz w:val="20"/>
          <w:szCs w:val="20"/>
        </w:rPr>
        <w:t xml:space="preserve">nternational Fund Manager </w:t>
      </w:r>
      <w:r w:rsidR="00977490" w:rsidRPr="004C2D7C">
        <w:rPr>
          <w:rFonts w:asciiTheme="minorHAnsi" w:hAnsiTheme="minorHAnsi" w:cstheme="minorHAnsi"/>
          <w:sz w:val="20"/>
          <w:szCs w:val="20"/>
        </w:rPr>
        <w:t xml:space="preserve">who is </w:t>
      </w:r>
      <w:r w:rsidR="00E445B8" w:rsidRPr="004C2D7C">
        <w:rPr>
          <w:rFonts w:asciiTheme="minorHAnsi" w:hAnsiTheme="minorHAnsi" w:cstheme="minorHAnsi"/>
          <w:sz w:val="20"/>
          <w:szCs w:val="20"/>
        </w:rPr>
        <w:t xml:space="preserve">licensed </w:t>
      </w:r>
      <w:r w:rsidR="00977490" w:rsidRPr="004C2D7C">
        <w:rPr>
          <w:rFonts w:asciiTheme="minorHAnsi" w:hAnsiTheme="minorHAnsi" w:cstheme="minorHAnsi"/>
          <w:sz w:val="20"/>
          <w:szCs w:val="20"/>
        </w:rPr>
        <w:t xml:space="preserve">or intends to be licensed </w:t>
      </w:r>
      <w:r w:rsidR="00E445B8" w:rsidRPr="004C2D7C">
        <w:rPr>
          <w:rFonts w:asciiTheme="minorHAnsi" w:hAnsiTheme="minorHAnsi" w:cstheme="minorHAnsi"/>
          <w:sz w:val="20"/>
          <w:szCs w:val="20"/>
        </w:rPr>
        <w:t>and operating in accordance with relevant regulations and properly registered in the country of origin and operation</w:t>
      </w:r>
      <w:r w:rsidR="004C2D7C" w:rsidRPr="004C2D7C">
        <w:rPr>
          <w:rFonts w:asciiTheme="minorHAnsi" w:hAnsiTheme="minorHAnsi" w:cstheme="minorHAnsi"/>
          <w:sz w:val="20"/>
          <w:szCs w:val="20"/>
        </w:rPr>
        <w:t xml:space="preserve">. </w:t>
      </w:r>
      <w:r w:rsidR="00E445B8" w:rsidRPr="004C2D7C">
        <w:rPr>
          <w:rFonts w:asciiTheme="minorHAnsi" w:hAnsiTheme="minorHAnsi" w:cstheme="minorHAnsi"/>
          <w:sz w:val="20"/>
          <w:szCs w:val="20"/>
        </w:rPr>
        <w:t xml:space="preserve">If a Fund Manager is an overseas company, then </w:t>
      </w:r>
      <w:r w:rsidR="00797C44" w:rsidRPr="004C2D7C">
        <w:rPr>
          <w:rFonts w:asciiTheme="minorHAnsi" w:hAnsiTheme="minorHAnsi" w:cstheme="minorHAnsi"/>
          <w:sz w:val="20"/>
          <w:szCs w:val="20"/>
        </w:rPr>
        <w:t xml:space="preserve">such </w:t>
      </w:r>
      <w:r w:rsidR="00A26281" w:rsidRPr="004C2D7C">
        <w:rPr>
          <w:rFonts w:asciiTheme="minorHAnsi" w:hAnsiTheme="minorHAnsi" w:cstheme="minorHAnsi"/>
          <w:sz w:val="20"/>
          <w:szCs w:val="20"/>
        </w:rPr>
        <w:t xml:space="preserve">a </w:t>
      </w:r>
      <w:r w:rsidR="00797C44" w:rsidRPr="004C2D7C">
        <w:rPr>
          <w:rFonts w:asciiTheme="minorHAnsi" w:hAnsiTheme="minorHAnsi" w:cstheme="minorHAnsi"/>
          <w:sz w:val="20"/>
          <w:szCs w:val="20"/>
        </w:rPr>
        <w:t>company</w:t>
      </w:r>
      <w:r w:rsidR="00E445B8" w:rsidRPr="004C2D7C">
        <w:rPr>
          <w:rFonts w:asciiTheme="minorHAnsi" w:hAnsiTheme="minorHAnsi" w:cstheme="minorHAnsi"/>
          <w:sz w:val="20"/>
          <w:szCs w:val="20"/>
        </w:rPr>
        <w:t xml:space="preserve"> will be required to be registered in Jamaica as an overseas company and licensed or registered in accordance with the Financial Services Commission (FSC) Act</w:t>
      </w:r>
      <w:r w:rsidR="00321F0C" w:rsidRPr="004C2D7C">
        <w:rPr>
          <w:rFonts w:asciiTheme="minorHAnsi" w:hAnsiTheme="minorHAnsi" w:cstheme="minorHAnsi"/>
          <w:b/>
          <w:sz w:val="20"/>
          <w:szCs w:val="20"/>
        </w:rPr>
        <w:t xml:space="preserve">. </w:t>
      </w:r>
      <w:r w:rsidR="00022759" w:rsidRPr="004C2D7C">
        <w:rPr>
          <w:rFonts w:asciiTheme="minorHAnsi" w:hAnsiTheme="minorHAnsi" w:cstheme="minorHAnsi"/>
          <w:color w:val="323130"/>
          <w:sz w:val="20"/>
          <w:szCs w:val="20"/>
        </w:rPr>
        <w:t>Existing fund</w:t>
      </w:r>
      <w:r w:rsidR="00785041" w:rsidRPr="004C2D7C">
        <w:rPr>
          <w:rFonts w:asciiTheme="minorHAnsi" w:hAnsiTheme="minorHAnsi" w:cstheme="minorHAnsi"/>
          <w:color w:val="323130"/>
          <w:sz w:val="20"/>
          <w:szCs w:val="20"/>
        </w:rPr>
        <w:t xml:space="preserve"> managers</w:t>
      </w:r>
      <w:r w:rsidR="00022759" w:rsidRPr="004C2D7C">
        <w:rPr>
          <w:rFonts w:asciiTheme="minorHAnsi" w:hAnsiTheme="minorHAnsi" w:cstheme="minorHAnsi"/>
          <w:color w:val="323130"/>
          <w:sz w:val="20"/>
          <w:szCs w:val="20"/>
        </w:rPr>
        <w:t xml:space="preserve"> with aligned investment strategy may apply (</w:t>
      </w:r>
      <w:r w:rsidR="00BA104A" w:rsidRPr="004C2D7C">
        <w:rPr>
          <w:rFonts w:asciiTheme="minorHAnsi" w:hAnsiTheme="minorHAnsi" w:cstheme="minorHAnsi"/>
          <w:color w:val="323130"/>
          <w:sz w:val="20"/>
          <w:szCs w:val="20"/>
        </w:rPr>
        <w:t>e.g.,</w:t>
      </w:r>
      <w:r w:rsidR="00022759" w:rsidRPr="004C2D7C">
        <w:rPr>
          <w:rFonts w:asciiTheme="minorHAnsi" w:hAnsiTheme="minorHAnsi" w:cstheme="minorHAnsi"/>
          <w:color w:val="323130"/>
          <w:sz w:val="20"/>
          <w:szCs w:val="20"/>
        </w:rPr>
        <w:t xml:space="preserve"> funds that are already fund raising or have completed first close)</w:t>
      </w:r>
      <w:r w:rsidR="007B5ADE" w:rsidRPr="004C2D7C">
        <w:rPr>
          <w:rFonts w:asciiTheme="minorHAnsi" w:hAnsiTheme="minorHAnsi" w:cstheme="minorHAnsi"/>
          <w:color w:val="323130"/>
          <w:sz w:val="20"/>
          <w:szCs w:val="20"/>
        </w:rPr>
        <w:t>.</w:t>
      </w:r>
    </w:p>
    <w:p w14:paraId="4A723720" w14:textId="1AB9AFD4" w:rsidR="006D7DEE" w:rsidRDefault="006D7DEE" w:rsidP="00D00E92">
      <w:pPr>
        <w:pStyle w:val="LightGrid-Accent31"/>
        <w:spacing w:after="200" w:line="360" w:lineRule="auto"/>
        <w:jc w:val="both"/>
        <w:rPr>
          <w:rFonts w:asciiTheme="minorHAnsi" w:hAnsiTheme="minorHAnsi" w:cstheme="minorHAnsi"/>
          <w:color w:val="323130"/>
          <w:sz w:val="20"/>
          <w:szCs w:val="20"/>
        </w:rPr>
      </w:pPr>
    </w:p>
    <w:p w14:paraId="609B0C64" w14:textId="629CA77E" w:rsidR="006D7DEE" w:rsidRDefault="006D7DEE" w:rsidP="00D00E92">
      <w:pPr>
        <w:pStyle w:val="LightGrid-Accent31"/>
        <w:spacing w:after="200" w:line="360" w:lineRule="auto"/>
        <w:jc w:val="both"/>
        <w:rPr>
          <w:rFonts w:asciiTheme="minorHAnsi" w:hAnsiTheme="minorHAnsi" w:cstheme="minorHAnsi"/>
          <w:color w:val="323130"/>
          <w:sz w:val="20"/>
          <w:szCs w:val="20"/>
        </w:rPr>
      </w:pPr>
    </w:p>
    <w:p w14:paraId="2ED27AFF" w14:textId="77777777" w:rsidR="006D7DEE" w:rsidRPr="004C2D7C" w:rsidRDefault="006D7DEE" w:rsidP="00D00E92">
      <w:pPr>
        <w:pStyle w:val="LightGrid-Accent31"/>
        <w:spacing w:after="200" w:line="360" w:lineRule="auto"/>
        <w:jc w:val="both"/>
        <w:rPr>
          <w:rFonts w:asciiTheme="minorHAnsi" w:hAnsiTheme="minorHAnsi" w:cstheme="minorHAnsi"/>
          <w:b/>
          <w:sz w:val="20"/>
          <w:szCs w:val="20"/>
        </w:rPr>
      </w:pPr>
    </w:p>
    <w:p w14:paraId="793FE5EB" w14:textId="3877800E" w:rsidR="00E445B8" w:rsidRPr="00E244B6" w:rsidRDefault="00E445B8" w:rsidP="00E445B8">
      <w:pPr>
        <w:pStyle w:val="Heading2"/>
        <w:numPr>
          <w:ilvl w:val="1"/>
          <w:numId w:val="1"/>
        </w:numPr>
        <w:rPr>
          <w:rFonts w:asciiTheme="minorHAnsi" w:hAnsiTheme="minorHAnsi"/>
        </w:rPr>
      </w:pPr>
      <w:bookmarkStart w:id="12" w:name="_Toc392698182"/>
      <w:bookmarkStart w:id="13" w:name="_Toc429390662"/>
      <w:bookmarkStart w:id="14" w:name="_Toc31010184"/>
      <w:r w:rsidRPr="00E244B6">
        <w:rPr>
          <w:rFonts w:asciiTheme="minorHAnsi" w:hAnsiTheme="minorHAnsi"/>
        </w:rPr>
        <w:lastRenderedPageBreak/>
        <w:t>Background</w:t>
      </w:r>
      <w:bookmarkEnd w:id="12"/>
      <w:bookmarkEnd w:id="13"/>
      <w:bookmarkEnd w:id="14"/>
    </w:p>
    <w:p w14:paraId="23646355" w14:textId="77777777" w:rsidR="00E445B8" w:rsidRPr="00E244B6" w:rsidRDefault="00E445B8" w:rsidP="00E445B8">
      <w:pPr>
        <w:rPr>
          <w:lang w:val="en-GB"/>
        </w:rPr>
      </w:pPr>
    </w:p>
    <w:p w14:paraId="5E468E7D" w14:textId="2CDE1C9F" w:rsidR="00C626FC" w:rsidRPr="00142369" w:rsidRDefault="00C626FC" w:rsidP="00C626FC">
      <w:pPr>
        <w:spacing w:line="360" w:lineRule="auto"/>
        <w:ind w:left="720"/>
        <w:contextualSpacing/>
        <w:jc w:val="both"/>
        <w:rPr>
          <w:rFonts w:eastAsia="Times New Roman" w:cstheme="minorHAnsi"/>
          <w:sz w:val="20"/>
          <w:szCs w:val="20"/>
        </w:rPr>
      </w:pPr>
      <w:r w:rsidRPr="00142369">
        <w:rPr>
          <w:rFonts w:eastAsia="Times New Roman" w:cstheme="minorHAnsi"/>
          <w:sz w:val="20"/>
          <w:szCs w:val="20"/>
        </w:rPr>
        <w:t>The G</w:t>
      </w:r>
      <w:r w:rsidR="00F84F51">
        <w:rPr>
          <w:rFonts w:eastAsia="Times New Roman" w:cstheme="minorHAnsi"/>
          <w:sz w:val="20"/>
          <w:szCs w:val="20"/>
        </w:rPr>
        <w:t>OJ</w:t>
      </w:r>
      <w:r w:rsidR="00321F0C">
        <w:rPr>
          <w:rFonts w:eastAsia="Times New Roman" w:cstheme="minorHAnsi"/>
          <w:sz w:val="20"/>
          <w:szCs w:val="20"/>
        </w:rPr>
        <w:t xml:space="preserve"> </w:t>
      </w:r>
      <w:r w:rsidRPr="00142369">
        <w:rPr>
          <w:rFonts w:eastAsia="Times New Roman" w:cstheme="minorHAnsi"/>
          <w:sz w:val="20"/>
          <w:szCs w:val="20"/>
        </w:rPr>
        <w:t xml:space="preserve">has </w:t>
      </w:r>
      <w:r w:rsidR="00F84F51">
        <w:rPr>
          <w:rFonts w:eastAsia="Times New Roman" w:cstheme="minorHAnsi"/>
          <w:sz w:val="20"/>
          <w:szCs w:val="20"/>
        </w:rPr>
        <w:t>recognized that the private equity markets play a key role in providing financing and other support to businesses</w:t>
      </w:r>
      <w:r w:rsidR="004C2D7C">
        <w:rPr>
          <w:rFonts w:eastAsia="Times New Roman" w:cstheme="minorHAnsi"/>
          <w:sz w:val="20"/>
          <w:szCs w:val="20"/>
        </w:rPr>
        <w:t xml:space="preserve">. </w:t>
      </w:r>
      <w:r w:rsidR="00F84F51">
        <w:rPr>
          <w:rFonts w:eastAsia="Times New Roman" w:cstheme="minorHAnsi"/>
          <w:sz w:val="20"/>
          <w:szCs w:val="20"/>
        </w:rPr>
        <w:t>With the focus on recovery of the business environment</w:t>
      </w:r>
      <w:r w:rsidR="004C2D7C">
        <w:rPr>
          <w:rFonts w:eastAsia="Times New Roman" w:cstheme="minorHAnsi"/>
          <w:sz w:val="20"/>
          <w:szCs w:val="20"/>
        </w:rPr>
        <w:t>,</w:t>
      </w:r>
      <w:r w:rsidR="00F84F51">
        <w:rPr>
          <w:rFonts w:eastAsia="Times New Roman" w:cstheme="minorHAnsi"/>
          <w:sz w:val="20"/>
          <w:szCs w:val="20"/>
        </w:rPr>
        <w:t xml:space="preserve"> post-COVID, the GOJ seeks to collaborate with eligible private capital funds to provide smart financing to SMEs. </w:t>
      </w:r>
    </w:p>
    <w:p w14:paraId="53D549D2" w14:textId="77777777" w:rsidR="00C626FC" w:rsidRPr="00142369" w:rsidRDefault="00C626FC" w:rsidP="00785041">
      <w:pPr>
        <w:spacing w:line="360" w:lineRule="auto"/>
        <w:contextualSpacing/>
        <w:jc w:val="both"/>
        <w:rPr>
          <w:rFonts w:eastAsia="Times New Roman" w:cstheme="minorHAnsi"/>
          <w:sz w:val="20"/>
          <w:szCs w:val="20"/>
        </w:rPr>
      </w:pPr>
    </w:p>
    <w:p w14:paraId="387DD328" w14:textId="1FB19799" w:rsidR="00C626FC" w:rsidRDefault="00F84F51" w:rsidP="00C626FC">
      <w:pPr>
        <w:spacing w:line="360" w:lineRule="auto"/>
        <w:ind w:left="720"/>
        <w:contextualSpacing/>
        <w:jc w:val="both"/>
        <w:rPr>
          <w:rFonts w:eastAsia="Times New Roman" w:cstheme="minorHAnsi"/>
          <w:sz w:val="20"/>
          <w:szCs w:val="20"/>
        </w:rPr>
      </w:pPr>
      <w:r>
        <w:rPr>
          <w:rFonts w:eastAsia="Times New Roman" w:cstheme="minorHAnsi"/>
          <w:sz w:val="20"/>
          <w:szCs w:val="20"/>
        </w:rPr>
        <w:t xml:space="preserve">The </w:t>
      </w:r>
      <w:r w:rsidR="00321F0C">
        <w:rPr>
          <w:rFonts w:eastAsia="Times New Roman" w:cstheme="minorHAnsi"/>
          <w:sz w:val="20"/>
          <w:szCs w:val="20"/>
        </w:rPr>
        <w:t xml:space="preserve">GOJ </w:t>
      </w:r>
      <w:r w:rsidR="00321F0C" w:rsidRPr="00142369">
        <w:rPr>
          <w:rFonts w:eastAsia="Times New Roman" w:cstheme="minorHAnsi"/>
          <w:sz w:val="20"/>
          <w:szCs w:val="20"/>
        </w:rPr>
        <w:t>will</w:t>
      </w:r>
      <w:r w:rsidR="00C626FC" w:rsidRPr="00142369">
        <w:rPr>
          <w:rFonts w:eastAsia="Times New Roman" w:cstheme="minorHAnsi"/>
          <w:sz w:val="20"/>
          <w:szCs w:val="20"/>
        </w:rPr>
        <w:t xml:space="preserve"> contribute capital </w:t>
      </w:r>
      <w:r w:rsidR="007B5ADE">
        <w:rPr>
          <w:rFonts w:eastAsia="Times New Roman" w:cstheme="minorHAnsi"/>
          <w:sz w:val="20"/>
          <w:szCs w:val="20"/>
        </w:rPr>
        <w:t xml:space="preserve">of </w:t>
      </w:r>
      <w:r w:rsidR="00564083">
        <w:rPr>
          <w:rFonts w:eastAsia="Times New Roman" w:cstheme="minorHAnsi"/>
          <w:sz w:val="20"/>
          <w:szCs w:val="20"/>
        </w:rPr>
        <w:t>up to</w:t>
      </w:r>
      <w:r w:rsidR="00C626FC" w:rsidRPr="00142369">
        <w:rPr>
          <w:rFonts w:eastAsia="Times New Roman" w:cstheme="minorHAnsi"/>
          <w:sz w:val="20"/>
          <w:szCs w:val="20"/>
        </w:rPr>
        <w:t xml:space="preserve"> </w:t>
      </w:r>
      <w:r w:rsidR="006F0243">
        <w:rPr>
          <w:rFonts w:eastAsia="Times New Roman" w:cstheme="minorHAnsi"/>
          <w:sz w:val="20"/>
          <w:szCs w:val="20"/>
        </w:rPr>
        <w:t xml:space="preserve">J$1 </w:t>
      </w:r>
      <w:r w:rsidR="005F587C">
        <w:rPr>
          <w:rFonts w:eastAsia="Times New Roman" w:cstheme="minorHAnsi"/>
          <w:sz w:val="20"/>
          <w:szCs w:val="20"/>
        </w:rPr>
        <w:t>billion</w:t>
      </w:r>
      <w:r w:rsidR="005F587C" w:rsidRPr="00142369">
        <w:rPr>
          <w:rFonts w:eastAsia="Times New Roman" w:cstheme="minorHAnsi"/>
          <w:sz w:val="20"/>
          <w:szCs w:val="20"/>
        </w:rPr>
        <w:t xml:space="preserve"> as</w:t>
      </w:r>
      <w:r w:rsidR="00C626FC" w:rsidRPr="00142369">
        <w:rPr>
          <w:rFonts w:eastAsia="Times New Roman" w:cstheme="minorHAnsi"/>
          <w:sz w:val="20"/>
          <w:szCs w:val="20"/>
        </w:rPr>
        <w:t xml:space="preserve"> </w:t>
      </w:r>
      <w:r w:rsidR="00A26281" w:rsidRPr="00142369">
        <w:rPr>
          <w:rFonts w:eastAsia="Times New Roman" w:cstheme="minorHAnsi"/>
          <w:sz w:val="20"/>
          <w:szCs w:val="20"/>
        </w:rPr>
        <w:t xml:space="preserve">an </w:t>
      </w:r>
      <w:r w:rsidR="00C626FC" w:rsidRPr="00142369">
        <w:rPr>
          <w:rFonts w:eastAsia="Times New Roman" w:cstheme="minorHAnsi"/>
          <w:sz w:val="20"/>
          <w:szCs w:val="20"/>
        </w:rPr>
        <w:t xml:space="preserve">investment in </w:t>
      </w:r>
      <w:r w:rsidR="006F0243">
        <w:rPr>
          <w:rFonts w:eastAsia="Times New Roman" w:cstheme="minorHAnsi"/>
          <w:sz w:val="20"/>
          <w:szCs w:val="20"/>
        </w:rPr>
        <w:t xml:space="preserve">each of </w:t>
      </w:r>
      <w:r w:rsidR="00782AAD">
        <w:rPr>
          <w:rFonts w:eastAsia="Times New Roman" w:cstheme="minorHAnsi"/>
          <w:sz w:val="20"/>
          <w:szCs w:val="20"/>
        </w:rPr>
        <w:t>two (2</w:t>
      </w:r>
      <w:r w:rsidR="00321F0C">
        <w:rPr>
          <w:rFonts w:eastAsia="Times New Roman" w:cstheme="minorHAnsi"/>
          <w:sz w:val="20"/>
          <w:szCs w:val="20"/>
        </w:rPr>
        <w:t xml:space="preserve">) </w:t>
      </w:r>
      <w:r w:rsidR="00321F0C" w:rsidRPr="00142369">
        <w:rPr>
          <w:rFonts w:eastAsia="Times New Roman" w:cstheme="minorHAnsi"/>
          <w:sz w:val="20"/>
          <w:szCs w:val="20"/>
        </w:rPr>
        <w:t>funds</w:t>
      </w:r>
      <w:r w:rsidR="00C626FC" w:rsidRPr="00142369">
        <w:rPr>
          <w:rFonts w:eastAsia="Times New Roman" w:cstheme="minorHAnsi"/>
          <w:sz w:val="20"/>
          <w:szCs w:val="20"/>
        </w:rPr>
        <w:t xml:space="preserve"> </w:t>
      </w:r>
      <w:r w:rsidR="00A26281" w:rsidRPr="00142369">
        <w:rPr>
          <w:rFonts w:eastAsia="Times New Roman" w:cstheme="minorHAnsi"/>
          <w:sz w:val="20"/>
          <w:szCs w:val="20"/>
        </w:rPr>
        <w:t xml:space="preserve">that </w:t>
      </w:r>
      <w:r w:rsidR="00C626FC" w:rsidRPr="00142369">
        <w:rPr>
          <w:rFonts w:eastAsia="Times New Roman" w:cstheme="minorHAnsi"/>
          <w:sz w:val="20"/>
          <w:szCs w:val="20"/>
        </w:rPr>
        <w:t>will, in turn, provide risk capital for SMEs with high growth potential and with a locus of activity in Jamaica.</w:t>
      </w:r>
      <w:r w:rsidR="0006222E">
        <w:rPr>
          <w:rFonts w:eastAsia="Times New Roman" w:cstheme="minorHAnsi"/>
          <w:sz w:val="20"/>
          <w:szCs w:val="20"/>
        </w:rPr>
        <w:t xml:space="preserve"> </w:t>
      </w:r>
      <w:r w:rsidR="00C626FC" w:rsidRPr="00142369">
        <w:rPr>
          <w:rFonts w:eastAsia="Times New Roman" w:cstheme="minorHAnsi"/>
          <w:sz w:val="20"/>
          <w:szCs w:val="20"/>
        </w:rPr>
        <w:t>Access to risk capital along with capacity building from a professional fund manager is expected to allow these investees to achieve higher levels of growth and productivity</w:t>
      </w:r>
      <w:r w:rsidR="00612726">
        <w:rPr>
          <w:rFonts w:eastAsia="Times New Roman" w:cstheme="minorHAnsi"/>
          <w:sz w:val="20"/>
          <w:szCs w:val="20"/>
        </w:rPr>
        <w:t>,</w:t>
      </w:r>
      <w:r w:rsidR="00C626FC" w:rsidRPr="00142369">
        <w:rPr>
          <w:rFonts w:eastAsia="Times New Roman" w:cstheme="minorHAnsi"/>
          <w:sz w:val="20"/>
          <w:szCs w:val="20"/>
        </w:rPr>
        <w:t xml:space="preserve"> and contribute, where possible, to job growth in their sectors. </w:t>
      </w:r>
    </w:p>
    <w:p w14:paraId="78890A0F" w14:textId="3C53EB51" w:rsidR="00785041" w:rsidRDefault="00785041" w:rsidP="00785041">
      <w:pPr>
        <w:spacing w:line="360" w:lineRule="auto"/>
        <w:contextualSpacing/>
        <w:jc w:val="both"/>
        <w:rPr>
          <w:rFonts w:eastAsia="Times New Roman" w:cstheme="minorHAnsi"/>
          <w:sz w:val="20"/>
          <w:szCs w:val="20"/>
        </w:rPr>
      </w:pPr>
    </w:p>
    <w:p w14:paraId="6F510B52" w14:textId="7695F33B" w:rsidR="00785041" w:rsidRPr="00142369" w:rsidRDefault="00785041" w:rsidP="006D7DEE">
      <w:pPr>
        <w:spacing w:line="360" w:lineRule="auto"/>
        <w:ind w:left="720"/>
        <w:jc w:val="both"/>
        <w:rPr>
          <w:rFonts w:cstheme="minorHAnsi"/>
          <w:sz w:val="20"/>
          <w:szCs w:val="20"/>
        </w:rPr>
      </w:pPr>
      <w:r w:rsidRPr="00142369">
        <w:rPr>
          <w:rFonts w:cstheme="minorHAnsi"/>
          <w:sz w:val="20"/>
          <w:szCs w:val="20"/>
        </w:rPr>
        <w:t>The GOJ has recognized that a vibrant and sustainable Private Equity (PE) market will create an avenue for addressing the problem of lack of access to long term equity financing for Jamaican companies</w:t>
      </w:r>
      <w:r>
        <w:rPr>
          <w:rFonts w:cstheme="minorHAnsi"/>
          <w:sz w:val="20"/>
          <w:szCs w:val="20"/>
        </w:rPr>
        <w:t>.</w:t>
      </w:r>
      <w:r w:rsidR="006D7DEE">
        <w:rPr>
          <w:rFonts w:cstheme="minorHAnsi"/>
          <w:sz w:val="20"/>
          <w:szCs w:val="20"/>
        </w:rPr>
        <w:t xml:space="preserve"> </w:t>
      </w:r>
      <w:r w:rsidRPr="00142369">
        <w:rPr>
          <w:rFonts w:cstheme="minorHAnsi"/>
          <w:sz w:val="20"/>
          <w:szCs w:val="20"/>
        </w:rPr>
        <w:t xml:space="preserve">In that regard, the GOJ, through DBJ’s </w:t>
      </w:r>
      <w:r w:rsidR="00782AAD">
        <w:rPr>
          <w:rFonts w:cstheme="minorHAnsi"/>
          <w:sz w:val="20"/>
          <w:szCs w:val="20"/>
        </w:rPr>
        <w:t>Private Capital Unit</w:t>
      </w:r>
      <w:r w:rsidRPr="00142369">
        <w:rPr>
          <w:rFonts w:cstheme="minorHAnsi"/>
          <w:sz w:val="20"/>
          <w:szCs w:val="20"/>
        </w:rPr>
        <w:t xml:space="preserve">, is collaborating with other public sector and private sector investment partners to source </w:t>
      </w:r>
      <w:r w:rsidR="00782AAD">
        <w:rPr>
          <w:rFonts w:cstheme="minorHAnsi"/>
          <w:sz w:val="20"/>
          <w:szCs w:val="20"/>
        </w:rPr>
        <w:t>tw</w:t>
      </w:r>
      <w:r>
        <w:rPr>
          <w:rFonts w:cstheme="minorHAnsi"/>
          <w:sz w:val="20"/>
          <w:szCs w:val="20"/>
        </w:rPr>
        <w:t>o or more</w:t>
      </w:r>
      <w:r w:rsidRPr="00142369">
        <w:rPr>
          <w:rFonts w:cstheme="minorHAnsi"/>
          <w:sz w:val="20"/>
          <w:szCs w:val="20"/>
        </w:rPr>
        <w:t xml:space="preserve"> qualified and experienced Fund Manager</w:t>
      </w:r>
      <w:r>
        <w:rPr>
          <w:rFonts w:cstheme="minorHAnsi"/>
          <w:sz w:val="20"/>
          <w:szCs w:val="20"/>
        </w:rPr>
        <w:t>s</w:t>
      </w:r>
      <w:r w:rsidRPr="00142369">
        <w:rPr>
          <w:rFonts w:cstheme="minorHAnsi"/>
          <w:sz w:val="20"/>
          <w:szCs w:val="20"/>
        </w:rPr>
        <w:t xml:space="preserve"> to establish and manage new SME Fund</w:t>
      </w:r>
      <w:r w:rsidR="00782AAD">
        <w:rPr>
          <w:rFonts w:cstheme="minorHAnsi"/>
          <w:sz w:val="20"/>
          <w:szCs w:val="20"/>
        </w:rPr>
        <w:t>s</w:t>
      </w:r>
      <w:r w:rsidRPr="00142369">
        <w:rPr>
          <w:rFonts w:cstheme="minorHAnsi"/>
          <w:sz w:val="20"/>
          <w:szCs w:val="20"/>
        </w:rPr>
        <w:t xml:space="preserve"> in Jamaica.</w:t>
      </w:r>
    </w:p>
    <w:p w14:paraId="4E1A8584" w14:textId="7FA1CEA0" w:rsidR="00C626FC" w:rsidRPr="00785041" w:rsidRDefault="00785041" w:rsidP="00785041">
      <w:pPr>
        <w:spacing w:line="360" w:lineRule="auto"/>
        <w:ind w:left="720"/>
        <w:jc w:val="both"/>
        <w:rPr>
          <w:rFonts w:cs="Arial"/>
          <w:sz w:val="20"/>
          <w:szCs w:val="20"/>
        </w:rPr>
      </w:pPr>
      <w:r w:rsidRPr="00142369">
        <w:rPr>
          <w:rFonts w:cstheme="minorHAnsi"/>
          <w:sz w:val="20"/>
          <w:szCs w:val="20"/>
        </w:rPr>
        <w:t xml:space="preserve">The </w:t>
      </w:r>
      <w:r w:rsidRPr="00142369">
        <w:rPr>
          <w:rFonts w:cstheme="minorHAnsi"/>
          <w:b/>
          <w:sz w:val="20"/>
          <w:szCs w:val="20"/>
        </w:rPr>
        <w:t xml:space="preserve">Investor Panel </w:t>
      </w:r>
      <w:r w:rsidRPr="00142369">
        <w:rPr>
          <w:rFonts w:cstheme="minorHAnsi"/>
          <w:sz w:val="20"/>
          <w:szCs w:val="20"/>
        </w:rPr>
        <w:t xml:space="preserve">comprised of the </w:t>
      </w:r>
      <w:proofErr w:type="gramStart"/>
      <w:r w:rsidRPr="00142369">
        <w:rPr>
          <w:rFonts w:cstheme="minorHAnsi"/>
          <w:sz w:val="20"/>
          <w:szCs w:val="20"/>
        </w:rPr>
        <w:t>DBJ</w:t>
      </w:r>
      <w:proofErr w:type="gramEnd"/>
      <w:r w:rsidRPr="00142369">
        <w:rPr>
          <w:rFonts w:cstheme="minorHAnsi"/>
          <w:sz w:val="20"/>
          <w:szCs w:val="20"/>
        </w:rPr>
        <w:t xml:space="preserve"> and a number of local corporate, institutional and individual investors </w:t>
      </w:r>
      <w:r w:rsidR="00782AAD">
        <w:rPr>
          <w:rFonts w:cstheme="minorHAnsi"/>
          <w:sz w:val="20"/>
          <w:szCs w:val="20"/>
        </w:rPr>
        <w:t xml:space="preserve">will utilize an already established </w:t>
      </w:r>
      <w:r w:rsidRPr="00142369">
        <w:rPr>
          <w:rFonts w:cstheme="minorHAnsi"/>
          <w:sz w:val="20"/>
          <w:szCs w:val="20"/>
        </w:rPr>
        <w:t xml:space="preserve">framework for the selection of </w:t>
      </w:r>
      <w:r w:rsidR="00612726">
        <w:rPr>
          <w:rFonts w:cstheme="minorHAnsi"/>
          <w:sz w:val="20"/>
          <w:szCs w:val="20"/>
        </w:rPr>
        <w:t xml:space="preserve">the </w:t>
      </w:r>
      <w:r w:rsidR="00612726" w:rsidRPr="00142369">
        <w:rPr>
          <w:rFonts w:cstheme="minorHAnsi"/>
          <w:sz w:val="20"/>
          <w:szCs w:val="20"/>
        </w:rPr>
        <w:t>qualified</w:t>
      </w:r>
      <w:r w:rsidRPr="00142369">
        <w:rPr>
          <w:rFonts w:cstheme="minorHAnsi"/>
          <w:sz w:val="20"/>
          <w:szCs w:val="20"/>
        </w:rPr>
        <w:t xml:space="preserve"> Fund Manager</w:t>
      </w:r>
      <w:r>
        <w:rPr>
          <w:rFonts w:cstheme="minorHAnsi"/>
          <w:sz w:val="20"/>
          <w:szCs w:val="20"/>
        </w:rPr>
        <w:t>s</w:t>
      </w:r>
      <w:r w:rsidRPr="00142369">
        <w:rPr>
          <w:rFonts w:cstheme="minorHAnsi"/>
          <w:sz w:val="20"/>
          <w:szCs w:val="20"/>
        </w:rPr>
        <w:t xml:space="preserve"> which will undertake investments in eligible SMEs in Jamaica through appropriate investment vehicles.</w:t>
      </w:r>
      <w:r>
        <w:rPr>
          <w:rStyle w:val="FootnoteReference"/>
          <w:rFonts w:cstheme="minorHAnsi"/>
          <w:sz w:val="20"/>
          <w:szCs w:val="20"/>
        </w:rPr>
        <w:footnoteReference w:id="2"/>
      </w:r>
      <w:r w:rsidRPr="00142369">
        <w:rPr>
          <w:rFonts w:cstheme="minorHAnsi"/>
          <w:sz w:val="20"/>
          <w:szCs w:val="20"/>
        </w:rPr>
        <w:t>The Investor Panel will have the opportunity of undertaking investments, in the established Fund</w:t>
      </w:r>
      <w:r>
        <w:rPr>
          <w:rFonts w:cstheme="minorHAnsi"/>
          <w:sz w:val="20"/>
          <w:szCs w:val="20"/>
        </w:rPr>
        <w:t>(s)</w:t>
      </w:r>
      <w:r w:rsidRPr="00142369">
        <w:rPr>
          <w:rFonts w:cstheme="minorHAnsi"/>
          <w:sz w:val="20"/>
          <w:szCs w:val="20"/>
        </w:rPr>
        <w:t>, along with the selected Fund Manager</w:t>
      </w:r>
      <w:r>
        <w:rPr>
          <w:rFonts w:cstheme="minorHAnsi"/>
          <w:sz w:val="20"/>
          <w:szCs w:val="20"/>
        </w:rPr>
        <w:t>(s)</w:t>
      </w:r>
      <w:r w:rsidRPr="00E244B6">
        <w:rPr>
          <w:rFonts w:cs="Arial"/>
          <w:sz w:val="20"/>
          <w:szCs w:val="20"/>
        </w:rPr>
        <w:t>.</w:t>
      </w:r>
    </w:p>
    <w:p w14:paraId="1472F35B" w14:textId="19D8E9CD" w:rsidR="00957CEA" w:rsidRDefault="00C626FC" w:rsidP="006D126C">
      <w:pPr>
        <w:spacing w:line="360" w:lineRule="auto"/>
        <w:ind w:left="720"/>
        <w:contextualSpacing/>
        <w:jc w:val="both"/>
        <w:rPr>
          <w:rFonts w:eastAsia="Times New Roman" w:cstheme="minorHAnsi"/>
          <w:sz w:val="20"/>
          <w:szCs w:val="20"/>
        </w:rPr>
      </w:pPr>
      <w:r w:rsidRPr="00142369">
        <w:rPr>
          <w:rFonts w:eastAsia="Times New Roman" w:cstheme="minorHAnsi"/>
          <w:sz w:val="20"/>
          <w:szCs w:val="20"/>
        </w:rPr>
        <w:t xml:space="preserve">Key features of </w:t>
      </w:r>
      <w:r w:rsidR="00782AAD">
        <w:rPr>
          <w:rFonts w:eastAsia="Times New Roman" w:cstheme="minorHAnsi"/>
          <w:sz w:val="20"/>
          <w:szCs w:val="20"/>
        </w:rPr>
        <w:t>each</w:t>
      </w:r>
      <w:r w:rsidRPr="00142369">
        <w:rPr>
          <w:rFonts w:eastAsia="Times New Roman" w:cstheme="minorHAnsi"/>
          <w:sz w:val="20"/>
          <w:szCs w:val="20"/>
        </w:rPr>
        <w:t xml:space="preserve"> Fund are expected to be:</w:t>
      </w:r>
      <w:r w:rsidR="00977490" w:rsidRPr="00142369">
        <w:rPr>
          <w:rFonts w:eastAsia="Times New Roman" w:cstheme="minorHAnsi"/>
          <w:sz w:val="20"/>
          <w:szCs w:val="20"/>
        </w:rPr>
        <w:t xml:space="preserve"> (</w:t>
      </w:r>
      <w:proofErr w:type="spellStart"/>
      <w:r w:rsidR="00977490" w:rsidRPr="00142369">
        <w:rPr>
          <w:rFonts w:eastAsia="Times New Roman" w:cstheme="minorHAnsi"/>
          <w:sz w:val="20"/>
          <w:szCs w:val="20"/>
        </w:rPr>
        <w:t>i</w:t>
      </w:r>
      <w:proofErr w:type="spellEnd"/>
      <w:r w:rsidR="00977490" w:rsidRPr="00142369">
        <w:rPr>
          <w:rFonts w:eastAsia="Times New Roman" w:cstheme="minorHAnsi"/>
          <w:sz w:val="20"/>
          <w:szCs w:val="20"/>
        </w:rPr>
        <w:t xml:space="preserve">) Fund focus;  minimum </w:t>
      </w:r>
      <w:r w:rsidR="00D14D31">
        <w:rPr>
          <w:rFonts w:eastAsia="Times New Roman" w:cstheme="minorHAnsi"/>
          <w:sz w:val="20"/>
          <w:szCs w:val="20"/>
        </w:rPr>
        <w:t xml:space="preserve">J$3 </w:t>
      </w:r>
      <w:r w:rsidR="00E51F60">
        <w:rPr>
          <w:rFonts w:eastAsia="Times New Roman" w:cstheme="minorHAnsi"/>
          <w:sz w:val="20"/>
          <w:szCs w:val="20"/>
        </w:rPr>
        <w:t>b</w:t>
      </w:r>
      <w:r w:rsidR="00977490" w:rsidRPr="00142369">
        <w:rPr>
          <w:rFonts w:eastAsia="Times New Roman" w:cstheme="minorHAnsi"/>
          <w:sz w:val="20"/>
          <w:szCs w:val="20"/>
        </w:rPr>
        <w:t>illion invested in Jamaican SMEs</w:t>
      </w:r>
      <w:r w:rsidRPr="00142369">
        <w:rPr>
          <w:rFonts w:eastAsia="Times New Roman" w:cstheme="minorHAnsi"/>
          <w:sz w:val="20"/>
          <w:szCs w:val="20"/>
        </w:rPr>
        <w:t xml:space="preserve"> (i</w:t>
      </w:r>
      <w:r w:rsidR="00977490" w:rsidRPr="00142369">
        <w:rPr>
          <w:rFonts w:eastAsia="Times New Roman" w:cstheme="minorHAnsi"/>
          <w:sz w:val="20"/>
          <w:szCs w:val="20"/>
        </w:rPr>
        <w:t>i</w:t>
      </w:r>
      <w:r w:rsidRPr="00142369">
        <w:rPr>
          <w:rFonts w:eastAsia="Times New Roman" w:cstheme="minorHAnsi"/>
          <w:sz w:val="20"/>
          <w:szCs w:val="20"/>
        </w:rPr>
        <w:t>) management by a private fund manager; (ii</w:t>
      </w:r>
      <w:r w:rsidR="00977490" w:rsidRPr="00142369">
        <w:rPr>
          <w:rFonts w:eastAsia="Times New Roman" w:cstheme="minorHAnsi"/>
          <w:sz w:val="20"/>
          <w:szCs w:val="20"/>
        </w:rPr>
        <w:t>i</w:t>
      </w:r>
      <w:r w:rsidRPr="00142369">
        <w:rPr>
          <w:rFonts w:eastAsia="Times New Roman" w:cstheme="minorHAnsi"/>
          <w:sz w:val="20"/>
          <w:szCs w:val="20"/>
        </w:rPr>
        <w:t>) co-investment by other investors including private investors; (i</w:t>
      </w:r>
      <w:r w:rsidR="00977490" w:rsidRPr="00142369">
        <w:rPr>
          <w:rFonts w:eastAsia="Times New Roman" w:cstheme="minorHAnsi"/>
          <w:sz w:val="20"/>
          <w:szCs w:val="20"/>
        </w:rPr>
        <w:t>v</w:t>
      </w:r>
      <w:r w:rsidRPr="00142369">
        <w:rPr>
          <w:rFonts w:eastAsia="Times New Roman" w:cstheme="minorHAnsi"/>
          <w:sz w:val="20"/>
          <w:szCs w:val="20"/>
        </w:rPr>
        <w:t xml:space="preserve">) no government participation on the </w:t>
      </w:r>
      <w:r w:rsidR="00E51F60">
        <w:rPr>
          <w:rFonts w:eastAsia="Times New Roman" w:cstheme="minorHAnsi"/>
          <w:sz w:val="20"/>
          <w:szCs w:val="20"/>
        </w:rPr>
        <w:t>I</w:t>
      </w:r>
      <w:r w:rsidRPr="00142369">
        <w:rPr>
          <w:rFonts w:eastAsia="Times New Roman" w:cstheme="minorHAnsi"/>
          <w:sz w:val="20"/>
          <w:szCs w:val="20"/>
        </w:rPr>
        <w:t xml:space="preserve">nvestment </w:t>
      </w:r>
      <w:r w:rsidR="00E51F60">
        <w:rPr>
          <w:rFonts w:eastAsia="Times New Roman" w:cstheme="minorHAnsi"/>
          <w:sz w:val="20"/>
          <w:szCs w:val="20"/>
        </w:rPr>
        <w:t>C</w:t>
      </w:r>
      <w:r w:rsidRPr="00142369">
        <w:rPr>
          <w:rFonts w:eastAsia="Times New Roman" w:cstheme="minorHAnsi"/>
          <w:sz w:val="20"/>
          <w:szCs w:val="20"/>
        </w:rPr>
        <w:t xml:space="preserve">ommittee or on the Board of Directors of the fund or fund manager; (v) fund life of 10 years extendable </w:t>
      </w:r>
      <w:r w:rsidR="008515C8" w:rsidRPr="008515C8">
        <w:rPr>
          <w:rFonts w:eastAsia="Times New Roman" w:cstheme="minorHAnsi"/>
          <w:sz w:val="20"/>
          <w:szCs w:val="20"/>
        </w:rPr>
        <w:t xml:space="preserve">by an additional period of not more </w:t>
      </w:r>
      <w:r w:rsidR="008515C8" w:rsidRPr="00351575">
        <w:rPr>
          <w:rFonts w:eastAsia="Times New Roman" w:cstheme="minorHAnsi"/>
          <w:sz w:val="20"/>
          <w:szCs w:val="20"/>
        </w:rPr>
        <w:t>than 5 years</w:t>
      </w:r>
      <w:r w:rsidRPr="00142369">
        <w:rPr>
          <w:rFonts w:eastAsia="Times New Roman" w:cstheme="minorHAnsi"/>
          <w:sz w:val="20"/>
          <w:szCs w:val="20"/>
        </w:rPr>
        <w:t>; (v</w:t>
      </w:r>
      <w:r w:rsidR="00977490" w:rsidRPr="00142369">
        <w:rPr>
          <w:rFonts w:eastAsia="Times New Roman" w:cstheme="minorHAnsi"/>
          <w:sz w:val="20"/>
          <w:szCs w:val="20"/>
        </w:rPr>
        <w:t>i</w:t>
      </w:r>
      <w:r w:rsidRPr="00142369">
        <w:rPr>
          <w:rFonts w:eastAsia="Times New Roman" w:cstheme="minorHAnsi"/>
          <w:sz w:val="20"/>
          <w:szCs w:val="20"/>
        </w:rPr>
        <w:t>)</w:t>
      </w:r>
      <w:r w:rsidR="00851266" w:rsidRPr="00142369">
        <w:rPr>
          <w:rFonts w:eastAsia="Times New Roman" w:cstheme="minorHAnsi"/>
          <w:sz w:val="20"/>
          <w:szCs w:val="20"/>
        </w:rPr>
        <w:t xml:space="preserve"> t</w:t>
      </w:r>
      <w:r w:rsidR="005110A3" w:rsidRPr="00142369">
        <w:rPr>
          <w:rFonts w:eastAsia="Times New Roman" w:cstheme="minorHAnsi"/>
          <w:sz w:val="20"/>
          <w:szCs w:val="20"/>
        </w:rPr>
        <w:t>argeted enterprises are SMEs, as nationally defined, that are ‘established’, i.e. enterprises with sustained positive cash flow and a growing customer base,</w:t>
      </w:r>
      <w:r w:rsidR="005110A3" w:rsidRPr="00142369">
        <w:rPr>
          <w:rFonts w:cstheme="minorHAnsi"/>
          <w:sz w:val="20"/>
          <w:szCs w:val="20"/>
        </w:rPr>
        <w:t xml:space="preserve"> which require infusion of growth equity to expand their business</w:t>
      </w:r>
      <w:r w:rsidR="00851266" w:rsidRPr="00142369">
        <w:rPr>
          <w:rFonts w:eastAsia="Times New Roman" w:cstheme="minorHAnsi"/>
          <w:sz w:val="20"/>
          <w:szCs w:val="20"/>
        </w:rPr>
        <w:t>;</w:t>
      </w:r>
      <w:r w:rsidR="004A7264" w:rsidRPr="00142369">
        <w:rPr>
          <w:rFonts w:eastAsia="Times New Roman" w:cstheme="minorHAnsi"/>
          <w:sz w:val="20"/>
          <w:szCs w:val="20"/>
        </w:rPr>
        <w:t xml:space="preserve"> (vi</w:t>
      </w:r>
      <w:r w:rsidR="00977490" w:rsidRPr="00142369">
        <w:rPr>
          <w:rFonts w:eastAsia="Times New Roman" w:cstheme="minorHAnsi"/>
          <w:sz w:val="20"/>
          <w:szCs w:val="20"/>
        </w:rPr>
        <w:t>i</w:t>
      </w:r>
      <w:r w:rsidR="004A7264" w:rsidRPr="00142369">
        <w:rPr>
          <w:rFonts w:eastAsia="Times New Roman" w:cstheme="minorHAnsi"/>
          <w:sz w:val="20"/>
          <w:szCs w:val="20"/>
        </w:rPr>
        <w:t>)</w:t>
      </w:r>
      <w:r w:rsidR="004A7264" w:rsidRPr="00142369">
        <w:rPr>
          <w:rFonts w:cstheme="minorHAnsi"/>
          <w:sz w:val="20"/>
          <w:szCs w:val="20"/>
        </w:rPr>
        <w:t xml:space="preserve"> estimated ticket sizes of </w:t>
      </w:r>
      <w:r w:rsidR="00D14D31">
        <w:rPr>
          <w:rFonts w:cstheme="minorHAnsi"/>
          <w:sz w:val="20"/>
          <w:szCs w:val="20"/>
        </w:rPr>
        <w:t>J$15 million</w:t>
      </w:r>
      <w:r w:rsidR="004A7264" w:rsidRPr="00142369">
        <w:rPr>
          <w:rFonts w:cstheme="minorHAnsi"/>
          <w:sz w:val="20"/>
          <w:szCs w:val="20"/>
        </w:rPr>
        <w:t xml:space="preserve"> to </w:t>
      </w:r>
      <w:r w:rsidR="00D14D31">
        <w:rPr>
          <w:rFonts w:cstheme="minorHAnsi"/>
          <w:sz w:val="20"/>
          <w:szCs w:val="20"/>
        </w:rPr>
        <w:t xml:space="preserve">J$300 </w:t>
      </w:r>
      <w:r w:rsidR="004A7264" w:rsidRPr="00142369">
        <w:rPr>
          <w:rFonts w:cstheme="minorHAnsi"/>
          <w:sz w:val="20"/>
          <w:szCs w:val="20"/>
        </w:rPr>
        <w:t>million</w:t>
      </w:r>
      <w:r w:rsidRPr="00142369">
        <w:rPr>
          <w:rFonts w:eastAsia="Times New Roman" w:cstheme="minorHAnsi"/>
          <w:sz w:val="20"/>
          <w:szCs w:val="20"/>
        </w:rPr>
        <w:t xml:space="preserve"> and (vi</w:t>
      </w:r>
      <w:r w:rsidR="00C60378" w:rsidRPr="00142369">
        <w:rPr>
          <w:rFonts w:eastAsia="Times New Roman" w:cstheme="minorHAnsi"/>
          <w:sz w:val="20"/>
          <w:szCs w:val="20"/>
        </w:rPr>
        <w:t>i</w:t>
      </w:r>
      <w:r w:rsidRPr="00142369">
        <w:rPr>
          <w:rFonts w:eastAsia="Times New Roman" w:cstheme="minorHAnsi"/>
          <w:sz w:val="20"/>
          <w:szCs w:val="20"/>
        </w:rPr>
        <w:t>) provide technical assistance to SMEs to relieve capacity constraints</w:t>
      </w:r>
      <w:r w:rsidR="00957CEA">
        <w:rPr>
          <w:rFonts w:eastAsia="Times New Roman" w:cstheme="minorHAnsi"/>
          <w:sz w:val="20"/>
          <w:szCs w:val="20"/>
        </w:rPr>
        <w:t xml:space="preserve"> (viii</w:t>
      </w:r>
      <w:r w:rsidR="00957CEA">
        <w:rPr>
          <w:rFonts w:cstheme="minorHAnsi"/>
          <w:sz w:val="20"/>
          <w:szCs w:val="20"/>
        </w:rPr>
        <w:t>) f</w:t>
      </w:r>
      <w:r w:rsidR="00957CEA" w:rsidRPr="00142369">
        <w:rPr>
          <w:rFonts w:cstheme="minorHAnsi"/>
          <w:sz w:val="20"/>
          <w:szCs w:val="20"/>
        </w:rPr>
        <w:t>und will be sector-neutral in its investment strategy</w:t>
      </w:r>
      <w:r w:rsidR="00D14D31">
        <w:rPr>
          <w:rFonts w:cstheme="minorHAnsi"/>
          <w:sz w:val="20"/>
          <w:szCs w:val="20"/>
        </w:rPr>
        <w:t xml:space="preserve">, however sector specific funds  </w:t>
      </w:r>
      <w:r w:rsidR="00E51F60">
        <w:rPr>
          <w:rFonts w:cstheme="minorHAnsi"/>
          <w:sz w:val="20"/>
          <w:szCs w:val="20"/>
        </w:rPr>
        <w:t xml:space="preserve">may </w:t>
      </w:r>
      <w:r w:rsidR="00D14D31">
        <w:rPr>
          <w:rFonts w:cstheme="minorHAnsi"/>
          <w:sz w:val="20"/>
          <w:szCs w:val="20"/>
        </w:rPr>
        <w:t>be considered</w:t>
      </w:r>
      <w:r w:rsidR="00957CEA" w:rsidRPr="00142369">
        <w:rPr>
          <w:rFonts w:cstheme="minorHAnsi"/>
          <w:sz w:val="20"/>
          <w:szCs w:val="20"/>
        </w:rPr>
        <w:t>.</w:t>
      </w:r>
      <w:r w:rsidR="00957CEA">
        <w:rPr>
          <w:rFonts w:eastAsia="Times New Roman" w:cstheme="minorHAnsi"/>
          <w:sz w:val="20"/>
          <w:szCs w:val="20"/>
        </w:rPr>
        <w:t xml:space="preserve"> </w:t>
      </w:r>
    </w:p>
    <w:p w14:paraId="5D687F8A" w14:textId="77777777" w:rsidR="00957CEA" w:rsidRDefault="00957CEA" w:rsidP="006D126C">
      <w:pPr>
        <w:spacing w:line="360" w:lineRule="auto"/>
        <w:ind w:left="720"/>
        <w:contextualSpacing/>
        <w:jc w:val="both"/>
        <w:rPr>
          <w:rFonts w:eastAsia="Times New Roman" w:cstheme="minorHAnsi"/>
          <w:sz w:val="20"/>
          <w:szCs w:val="20"/>
        </w:rPr>
      </w:pPr>
    </w:p>
    <w:p w14:paraId="01B5A993" w14:textId="05AC0B35" w:rsidR="006D126C" w:rsidRPr="00CA6CD7" w:rsidRDefault="00785041" w:rsidP="006D126C">
      <w:pPr>
        <w:spacing w:line="360" w:lineRule="auto"/>
        <w:ind w:left="720"/>
        <w:contextualSpacing/>
        <w:jc w:val="both"/>
        <w:rPr>
          <w:rFonts w:cstheme="minorHAnsi"/>
          <w:sz w:val="20"/>
          <w:szCs w:val="20"/>
        </w:rPr>
      </w:pPr>
      <w:bookmarkStart w:id="15" w:name="_Hlk43288159"/>
      <w:r>
        <w:rPr>
          <w:rFonts w:eastAsia="Times New Roman" w:cstheme="minorHAnsi"/>
          <w:sz w:val="20"/>
          <w:szCs w:val="20"/>
        </w:rPr>
        <w:t>Private investors</w:t>
      </w:r>
      <w:r w:rsidR="007F5890">
        <w:rPr>
          <w:rFonts w:eastAsia="Times New Roman" w:cstheme="minorHAnsi"/>
          <w:sz w:val="20"/>
          <w:szCs w:val="20"/>
        </w:rPr>
        <w:t xml:space="preserve"> </w:t>
      </w:r>
      <w:bookmarkEnd w:id="15"/>
      <w:r w:rsidR="007F5890">
        <w:rPr>
          <w:rFonts w:eastAsia="Times New Roman" w:cstheme="minorHAnsi"/>
          <w:sz w:val="20"/>
          <w:szCs w:val="20"/>
        </w:rPr>
        <w:t xml:space="preserve">will be required to invest at least twice the amount invested </w:t>
      </w:r>
      <w:r w:rsidR="00957CEA">
        <w:rPr>
          <w:rFonts w:eastAsia="Times New Roman" w:cstheme="minorHAnsi"/>
          <w:sz w:val="20"/>
          <w:szCs w:val="20"/>
        </w:rPr>
        <w:t xml:space="preserve">in the respective Fund(s) </w:t>
      </w:r>
      <w:r w:rsidR="007F5890">
        <w:rPr>
          <w:rFonts w:eastAsia="Times New Roman" w:cstheme="minorHAnsi"/>
          <w:sz w:val="20"/>
          <w:szCs w:val="20"/>
        </w:rPr>
        <w:t>by</w:t>
      </w:r>
      <w:r w:rsidR="00957CEA">
        <w:rPr>
          <w:rFonts w:eastAsia="Times New Roman" w:cstheme="minorHAnsi"/>
          <w:sz w:val="20"/>
          <w:szCs w:val="20"/>
        </w:rPr>
        <w:t xml:space="preserve"> </w:t>
      </w:r>
      <w:r w:rsidR="00CA6CD7">
        <w:rPr>
          <w:rFonts w:eastAsia="Times New Roman" w:cstheme="minorHAnsi"/>
          <w:sz w:val="20"/>
          <w:szCs w:val="20"/>
        </w:rPr>
        <w:t xml:space="preserve">the </w:t>
      </w:r>
      <w:r w:rsidR="00957CEA">
        <w:rPr>
          <w:rFonts w:eastAsia="Times New Roman" w:cstheme="minorHAnsi"/>
          <w:sz w:val="20"/>
          <w:szCs w:val="20"/>
        </w:rPr>
        <w:t>GOJ</w:t>
      </w:r>
      <w:r w:rsidR="00CA6CD7">
        <w:rPr>
          <w:rFonts w:eastAsia="Times New Roman" w:cstheme="minorHAnsi"/>
          <w:sz w:val="20"/>
          <w:szCs w:val="20"/>
        </w:rPr>
        <w:t xml:space="preserve">, </w:t>
      </w:r>
      <w:r w:rsidR="007F5890">
        <w:rPr>
          <w:rFonts w:eastAsia="Times New Roman" w:cstheme="minorHAnsi"/>
          <w:sz w:val="20"/>
          <w:szCs w:val="20"/>
        </w:rPr>
        <w:t>represented by DBJ.</w:t>
      </w:r>
      <w:r w:rsidR="00C626FC" w:rsidRPr="00142369">
        <w:rPr>
          <w:rFonts w:eastAsia="Times New Roman" w:cstheme="minorHAnsi"/>
          <w:sz w:val="20"/>
          <w:szCs w:val="20"/>
        </w:rPr>
        <w:t xml:space="preserve"> DBJ, will invest</w:t>
      </w:r>
      <w:r w:rsidR="00CA6CD7">
        <w:rPr>
          <w:rFonts w:eastAsia="Times New Roman" w:cstheme="minorHAnsi"/>
          <w:sz w:val="20"/>
          <w:szCs w:val="20"/>
        </w:rPr>
        <w:t xml:space="preserve"> </w:t>
      </w:r>
      <w:r w:rsidR="00957CEA">
        <w:rPr>
          <w:rFonts w:eastAsia="Times New Roman" w:cstheme="minorHAnsi"/>
          <w:sz w:val="20"/>
          <w:szCs w:val="20"/>
        </w:rPr>
        <w:t xml:space="preserve">a total of </w:t>
      </w:r>
      <w:r w:rsidR="00D14D31">
        <w:rPr>
          <w:rFonts w:eastAsia="Times New Roman" w:cstheme="minorHAnsi"/>
          <w:sz w:val="20"/>
          <w:szCs w:val="20"/>
        </w:rPr>
        <w:t>J$2</w:t>
      </w:r>
      <w:r w:rsidR="00F26D31">
        <w:rPr>
          <w:rFonts w:eastAsia="Times New Roman" w:cstheme="minorHAnsi"/>
          <w:sz w:val="20"/>
          <w:szCs w:val="20"/>
        </w:rPr>
        <w:t xml:space="preserve"> b</w:t>
      </w:r>
      <w:r w:rsidR="00C626FC" w:rsidRPr="00142369">
        <w:rPr>
          <w:rFonts w:eastAsia="Times New Roman" w:cstheme="minorHAnsi"/>
          <w:sz w:val="20"/>
          <w:szCs w:val="20"/>
        </w:rPr>
        <w:t xml:space="preserve">illion in the </w:t>
      </w:r>
      <w:r w:rsidR="00767C45" w:rsidRPr="00142369">
        <w:rPr>
          <w:rFonts w:eastAsia="Times New Roman" w:cstheme="minorHAnsi"/>
          <w:sz w:val="20"/>
          <w:szCs w:val="20"/>
        </w:rPr>
        <w:t>Fund</w:t>
      </w:r>
      <w:r w:rsidR="006D126C">
        <w:rPr>
          <w:rFonts w:eastAsia="Times New Roman" w:cstheme="minorHAnsi"/>
          <w:sz w:val="20"/>
          <w:szCs w:val="20"/>
        </w:rPr>
        <w:t>(s)</w:t>
      </w:r>
      <w:r w:rsidR="009117D2">
        <w:rPr>
          <w:rFonts w:eastAsia="Times New Roman" w:cstheme="minorHAnsi"/>
          <w:sz w:val="20"/>
          <w:szCs w:val="20"/>
        </w:rPr>
        <w:t>,</w:t>
      </w:r>
      <w:r w:rsidR="00957CEA">
        <w:rPr>
          <w:rFonts w:eastAsia="Times New Roman" w:cstheme="minorHAnsi"/>
          <w:sz w:val="20"/>
          <w:szCs w:val="20"/>
        </w:rPr>
        <w:t xml:space="preserve"> and</w:t>
      </w:r>
      <w:r w:rsidR="00A66C40">
        <w:rPr>
          <w:rFonts w:eastAsia="Times New Roman" w:cstheme="minorHAnsi"/>
          <w:sz w:val="20"/>
          <w:szCs w:val="20"/>
        </w:rPr>
        <w:t xml:space="preserve"> private investors</w:t>
      </w:r>
      <w:r w:rsidR="00C626FC" w:rsidRPr="00142369">
        <w:rPr>
          <w:rFonts w:eastAsia="Times New Roman" w:cstheme="minorHAnsi"/>
          <w:sz w:val="20"/>
          <w:szCs w:val="20"/>
        </w:rPr>
        <w:t xml:space="preserve"> will</w:t>
      </w:r>
      <w:r w:rsidR="00CB7C9A" w:rsidRPr="00142369">
        <w:rPr>
          <w:rFonts w:eastAsia="Times New Roman" w:cstheme="minorHAnsi"/>
          <w:sz w:val="20"/>
          <w:szCs w:val="20"/>
        </w:rPr>
        <w:t>, in aggregate</w:t>
      </w:r>
      <w:r w:rsidR="00C60378" w:rsidRPr="00142369">
        <w:rPr>
          <w:rFonts w:eastAsia="Times New Roman" w:cstheme="minorHAnsi"/>
          <w:sz w:val="20"/>
          <w:szCs w:val="20"/>
        </w:rPr>
        <w:t>,</w:t>
      </w:r>
      <w:r w:rsidR="00CB7C9A" w:rsidRPr="00142369">
        <w:rPr>
          <w:rFonts w:eastAsia="Times New Roman" w:cstheme="minorHAnsi"/>
          <w:sz w:val="20"/>
          <w:szCs w:val="20"/>
        </w:rPr>
        <w:t xml:space="preserve"> commit at least</w:t>
      </w:r>
      <w:r w:rsidR="00C626FC" w:rsidRPr="00142369">
        <w:rPr>
          <w:rFonts w:eastAsia="Times New Roman" w:cstheme="minorHAnsi"/>
          <w:sz w:val="20"/>
          <w:szCs w:val="20"/>
        </w:rPr>
        <w:t xml:space="preserve"> </w:t>
      </w:r>
      <w:r w:rsidR="00D14D31">
        <w:rPr>
          <w:rFonts w:eastAsia="Times New Roman" w:cstheme="minorHAnsi"/>
          <w:sz w:val="20"/>
          <w:szCs w:val="20"/>
        </w:rPr>
        <w:t>J$4</w:t>
      </w:r>
      <w:r w:rsidR="00F26D31">
        <w:rPr>
          <w:rFonts w:eastAsia="Times New Roman" w:cstheme="minorHAnsi"/>
          <w:sz w:val="20"/>
          <w:szCs w:val="20"/>
        </w:rPr>
        <w:t xml:space="preserve"> b</w:t>
      </w:r>
      <w:r w:rsidR="00C626FC" w:rsidRPr="00142369">
        <w:rPr>
          <w:rFonts w:eastAsia="Times New Roman" w:cstheme="minorHAnsi"/>
          <w:sz w:val="20"/>
          <w:szCs w:val="20"/>
        </w:rPr>
        <w:t>illion</w:t>
      </w:r>
      <w:r w:rsidR="00CB7C9A" w:rsidRPr="00142369">
        <w:rPr>
          <w:rFonts w:eastAsia="Times New Roman" w:cstheme="minorHAnsi"/>
          <w:sz w:val="20"/>
          <w:szCs w:val="20"/>
        </w:rPr>
        <w:t xml:space="preserve"> in matching funds</w:t>
      </w:r>
      <w:r w:rsidR="00C626FC" w:rsidRPr="00142369">
        <w:rPr>
          <w:rFonts w:eastAsia="Times New Roman" w:cstheme="minorHAnsi"/>
          <w:sz w:val="20"/>
          <w:szCs w:val="20"/>
        </w:rPr>
        <w:t>.</w:t>
      </w:r>
      <w:r w:rsidR="00891843" w:rsidRPr="00142369">
        <w:rPr>
          <w:rFonts w:cstheme="minorHAnsi"/>
          <w:sz w:val="20"/>
          <w:szCs w:val="20"/>
        </w:rPr>
        <w:t xml:space="preserve"> </w:t>
      </w:r>
      <w:bookmarkStart w:id="16" w:name="_Hlk43106502"/>
    </w:p>
    <w:bookmarkEnd w:id="16"/>
    <w:p w14:paraId="6E1A9C7F" w14:textId="3D37B048" w:rsidR="00351575" w:rsidRDefault="00351575">
      <w:pPr>
        <w:spacing w:after="160" w:line="259" w:lineRule="auto"/>
        <w:rPr>
          <w:rFonts w:eastAsia="Times New Roman" w:cstheme="minorHAnsi"/>
          <w:sz w:val="20"/>
          <w:szCs w:val="20"/>
        </w:rPr>
      </w:pPr>
    </w:p>
    <w:p w14:paraId="283115E5" w14:textId="45FC9149" w:rsidR="007876A8" w:rsidRDefault="007876A8" w:rsidP="004D261B">
      <w:pPr>
        <w:pStyle w:val="Heading2"/>
        <w:numPr>
          <w:ilvl w:val="1"/>
          <w:numId w:val="1"/>
        </w:numPr>
        <w:rPr>
          <w:rFonts w:asciiTheme="minorHAnsi" w:hAnsiTheme="minorHAnsi"/>
        </w:rPr>
      </w:pPr>
      <w:bookmarkStart w:id="17" w:name="_Toc31010185"/>
      <w:r w:rsidRPr="00497ED9">
        <w:rPr>
          <w:rFonts w:asciiTheme="minorHAnsi" w:hAnsiTheme="minorHAnsi"/>
        </w:rPr>
        <w:t>O</w:t>
      </w:r>
      <w:r w:rsidR="004D261B">
        <w:rPr>
          <w:rFonts w:asciiTheme="minorHAnsi" w:hAnsiTheme="minorHAnsi"/>
        </w:rPr>
        <w:t>bjectives and Features of the SME Fund</w:t>
      </w:r>
      <w:r w:rsidRPr="00497ED9">
        <w:rPr>
          <w:rFonts w:asciiTheme="minorHAnsi" w:hAnsiTheme="minorHAnsi"/>
        </w:rPr>
        <w:t xml:space="preserve"> </w:t>
      </w:r>
      <w:bookmarkEnd w:id="17"/>
    </w:p>
    <w:p w14:paraId="363D180F" w14:textId="77777777" w:rsidR="004D261B" w:rsidRPr="004D261B" w:rsidRDefault="004D261B" w:rsidP="004D261B">
      <w:pPr>
        <w:rPr>
          <w:lang w:val="en-GB"/>
        </w:rPr>
      </w:pPr>
    </w:p>
    <w:p w14:paraId="6EAC0275" w14:textId="77777777" w:rsidR="007876A8" w:rsidRPr="00142369" w:rsidRDefault="007876A8" w:rsidP="00BA5F1C">
      <w:pPr>
        <w:spacing w:after="160" w:line="259" w:lineRule="auto"/>
        <w:ind w:left="720"/>
        <w:jc w:val="both"/>
        <w:rPr>
          <w:rFonts w:eastAsia="Calibri" w:cstheme="minorHAnsi"/>
          <w:b/>
          <w:sz w:val="20"/>
          <w:szCs w:val="20"/>
        </w:rPr>
      </w:pPr>
      <w:r w:rsidRPr="00142369">
        <w:rPr>
          <w:rFonts w:eastAsia="Calibri" w:cstheme="minorHAnsi"/>
          <w:b/>
          <w:sz w:val="20"/>
          <w:szCs w:val="20"/>
        </w:rPr>
        <w:t>Objectives:</w:t>
      </w:r>
    </w:p>
    <w:p w14:paraId="4611B6D4" w14:textId="51DBF73A" w:rsidR="006672A6" w:rsidRPr="00142369" w:rsidRDefault="006672A6" w:rsidP="000C2D6C">
      <w:pPr>
        <w:spacing w:after="160" w:line="360" w:lineRule="auto"/>
        <w:ind w:left="720"/>
        <w:jc w:val="both"/>
        <w:rPr>
          <w:rFonts w:cstheme="minorHAnsi"/>
          <w:sz w:val="20"/>
          <w:szCs w:val="20"/>
        </w:rPr>
      </w:pPr>
      <w:r w:rsidRPr="00142369">
        <w:rPr>
          <w:rFonts w:cstheme="minorHAnsi"/>
          <w:sz w:val="20"/>
          <w:szCs w:val="20"/>
        </w:rPr>
        <w:t xml:space="preserve">The objective of the SME Fund is to provide risk capital financing to established SMEs that have high growth potential and operations in </w:t>
      </w:r>
      <w:r w:rsidR="00497ED9" w:rsidRPr="00142369">
        <w:rPr>
          <w:rFonts w:cstheme="minorHAnsi"/>
          <w:sz w:val="20"/>
          <w:szCs w:val="20"/>
        </w:rPr>
        <w:t>Jamaica</w:t>
      </w:r>
      <w:r w:rsidR="00D72D8C">
        <w:rPr>
          <w:rFonts w:cstheme="minorHAnsi"/>
          <w:sz w:val="20"/>
          <w:szCs w:val="20"/>
        </w:rPr>
        <w:t>,</w:t>
      </w:r>
      <w:r w:rsidR="00497ED9" w:rsidRPr="00142369">
        <w:rPr>
          <w:rFonts w:cstheme="minorHAnsi"/>
          <w:sz w:val="20"/>
          <w:szCs w:val="20"/>
        </w:rPr>
        <w:t xml:space="preserve"> </w:t>
      </w:r>
      <w:r w:rsidR="00DE4819">
        <w:rPr>
          <w:rFonts w:cstheme="minorHAnsi"/>
          <w:sz w:val="20"/>
          <w:szCs w:val="20"/>
        </w:rPr>
        <w:t xml:space="preserve">and which may have adversely impacted by the </w:t>
      </w:r>
      <w:r w:rsidR="005A22B0">
        <w:rPr>
          <w:rFonts w:cstheme="minorHAnsi"/>
          <w:sz w:val="20"/>
          <w:szCs w:val="20"/>
        </w:rPr>
        <w:t xml:space="preserve">downturn in the economy due to the </w:t>
      </w:r>
      <w:r w:rsidR="00DE4819">
        <w:rPr>
          <w:rFonts w:cstheme="minorHAnsi"/>
          <w:sz w:val="20"/>
          <w:szCs w:val="20"/>
        </w:rPr>
        <w:t xml:space="preserve">Covid-19 </w:t>
      </w:r>
      <w:r w:rsidR="00612726">
        <w:rPr>
          <w:rFonts w:cstheme="minorHAnsi"/>
          <w:sz w:val="20"/>
          <w:szCs w:val="20"/>
        </w:rPr>
        <w:t>pandemic.</w:t>
      </w:r>
      <w:r w:rsidRPr="00142369">
        <w:rPr>
          <w:rFonts w:cstheme="minorHAnsi"/>
          <w:sz w:val="20"/>
          <w:szCs w:val="20"/>
        </w:rPr>
        <w:t xml:space="preserve"> The long-term vision is to encourage the equity investment market to increase the supply of investment finance for established firms by demonstrating their financial viability, growth potential, and economic role.</w:t>
      </w:r>
    </w:p>
    <w:p w14:paraId="5EBA62B4" w14:textId="6F266AB7" w:rsidR="007876A8" w:rsidRPr="00142369" w:rsidRDefault="006672A6" w:rsidP="000C2D6C">
      <w:pPr>
        <w:spacing w:after="160"/>
        <w:ind w:left="720"/>
        <w:jc w:val="both"/>
        <w:rPr>
          <w:rFonts w:cstheme="minorHAnsi"/>
          <w:sz w:val="20"/>
          <w:szCs w:val="20"/>
        </w:rPr>
      </w:pPr>
      <w:r w:rsidRPr="00142369">
        <w:rPr>
          <w:rFonts w:cstheme="minorHAnsi"/>
          <w:sz w:val="20"/>
          <w:szCs w:val="20"/>
        </w:rPr>
        <w:t xml:space="preserve">The </w:t>
      </w:r>
      <w:r w:rsidR="007876A8" w:rsidRPr="00142369">
        <w:rPr>
          <w:rFonts w:cstheme="minorHAnsi"/>
          <w:sz w:val="20"/>
          <w:szCs w:val="20"/>
        </w:rPr>
        <w:t>DBJ and the SME Fund</w:t>
      </w:r>
      <w:r w:rsidR="005110A3" w:rsidRPr="00142369">
        <w:rPr>
          <w:rFonts w:cstheme="minorHAnsi"/>
          <w:sz w:val="20"/>
          <w:szCs w:val="20"/>
        </w:rPr>
        <w:t xml:space="preserve"> Manager</w:t>
      </w:r>
      <w:r w:rsidR="00046060">
        <w:rPr>
          <w:rFonts w:cstheme="minorHAnsi"/>
          <w:sz w:val="20"/>
          <w:szCs w:val="20"/>
        </w:rPr>
        <w:t>s</w:t>
      </w:r>
      <w:r w:rsidR="007876A8" w:rsidRPr="00142369">
        <w:rPr>
          <w:rFonts w:cstheme="minorHAnsi"/>
          <w:sz w:val="20"/>
          <w:szCs w:val="20"/>
        </w:rPr>
        <w:t xml:space="preserve"> will monitor the following indicators </w:t>
      </w:r>
      <w:r w:rsidR="007400B4">
        <w:rPr>
          <w:rFonts w:cstheme="minorHAnsi"/>
          <w:sz w:val="20"/>
          <w:szCs w:val="20"/>
        </w:rPr>
        <w:t>for</w:t>
      </w:r>
      <w:r w:rsidR="007876A8" w:rsidRPr="00142369">
        <w:rPr>
          <w:rFonts w:cstheme="minorHAnsi"/>
          <w:sz w:val="20"/>
          <w:szCs w:val="20"/>
        </w:rPr>
        <w:t xml:space="preserve"> the SMEs</w:t>
      </w:r>
      <w:r w:rsidR="00046060">
        <w:rPr>
          <w:rFonts w:cstheme="minorHAnsi"/>
          <w:sz w:val="20"/>
          <w:szCs w:val="20"/>
        </w:rPr>
        <w:t>’</w:t>
      </w:r>
      <w:r w:rsidR="007876A8" w:rsidRPr="00142369">
        <w:rPr>
          <w:rFonts w:cstheme="minorHAnsi"/>
          <w:sz w:val="20"/>
          <w:szCs w:val="20"/>
        </w:rPr>
        <w:t xml:space="preserve"> participati</w:t>
      </w:r>
      <w:r w:rsidR="006C4B6E" w:rsidRPr="00142369">
        <w:rPr>
          <w:rFonts w:cstheme="minorHAnsi"/>
          <w:sz w:val="20"/>
          <w:szCs w:val="20"/>
        </w:rPr>
        <w:t>on</w:t>
      </w:r>
      <w:r w:rsidR="007876A8" w:rsidRPr="00142369">
        <w:rPr>
          <w:rFonts w:cstheme="minorHAnsi"/>
          <w:sz w:val="20"/>
          <w:szCs w:val="20"/>
        </w:rPr>
        <w:t xml:space="preserve"> in the SME Fund</w:t>
      </w:r>
      <w:r w:rsidR="00046060">
        <w:rPr>
          <w:rFonts w:cstheme="minorHAnsi"/>
          <w:sz w:val="20"/>
          <w:szCs w:val="20"/>
        </w:rPr>
        <w:t>s</w:t>
      </w:r>
      <w:r w:rsidR="007876A8" w:rsidRPr="00142369">
        <w:rPr>
          <w:rFonts w:cstheme="minorHAnsi"/>
          <w:sz w:val="20"/>
          <w:szCs w:val="20"/>
        </w:rPr>
        <w:t>, in J$ and US$ whe</w:t>
      </w:r>
      <w:r w:rsidRPr="00142369">
        <w:rPr>
          <w:rFonts w:cstheme="minorHAnsi"/>
          <w:sz w:val="20"/>
          <w:szCs w:val="20"/>
        </w:rPr>
        <w:t>re</w:t>
      </w:r>
      <w:r w:rsidR="001E0288" w:rsidRPr="00142369">
        <w:rPr>
          <w:rFonts w:cstheme="minorHAnsi"/>
          <w:sz w:val="20"/>
          <w:szCs w:val="20"/>
        </w:rPr>
        <w:t xml:space="preserve"> </w:t>
      </w:r>
      <w:r w:rsidR="007876A8" w:rsidRPr="00142369">
        <w:rPr>
          <w:rFonts w:cstheme="minorHAnsi"/>
          <w:sz w:val="20"/>
          <w:szCs w:val="20"/>
        </w:rPr>
        <w:t>applicable</w:t>
      </w:r>
      <w:r w:rsidR="00046060">
        <w:rPr>
          <w:rFonts w:cstheme="minorHAnsi"/>
          <w:sz w:val="20"/>
          <w:szCs w:val="20"/>
        </w:rPr>
        <w:t>,</w:t>
      </w:r>
      <w:r w:rsidR="001E0288" w:rsidRPr="00142369">
        <w:rPr>
          <w:rFonts w:cstheme="minorHAnsi"/>
          <w:sz w:val="20"/>
          <w:szCs w:val="20"/>
        </w:rPr>
        <w:t xml:space="preserve"> in line with the objective of the Fund</w:t>
      </w:r>
      <w:r w:rsidR="007876A8" w:rsidRPr="00142369">
        <w:rPr>
          <w:rFonts w:cstheme="minorHAnsi"/>
          <w:sz w:val="20"/>
          <w:szCs w:val="20"/>
        </w:rPr>
        <w:t xml:space="preserve">: </w:t>
      </w:r>
    </w:p>
    <w:p w14:paraId="2F698E6D" w14:textId="77777777" w:rsidR="007876A8" w:rsidRPr="00142369" w:rsidRDefault="007876A8" w:rsidP="00625D6F">
      <w:pPr>
        <w:numPr>
          <w:ilvl w:val="0"/>
          <w:numId w:val="14"/>
        </w:numPr>
        <w:spacing w:after="160"/>
        <w:ind w:left="1440"/>
        <w:contextualSpacing/>
        <w:jc w:val="both"/>
        <w:rPr>
          <w:rFonts w:eastAsia="Calibri" w:cstheme="minorHAnsi"/>
          <w:sz w:val="20"/>
          <w:szCs w:val="20"/>
        </w:rPr>
      </w:pPr>
      <w:r w:rsidRPr="00142369">
        <w:rPr>
          <w:rFonts w:eastAsia="Calibri" w:cstheme="minorHAnsi"/>
          <w:sz w:val="20"/>
          <w:szCs w:val="20"/>
        </w:rPr>
        <w:t>Sales</w:t>
      </w:r>
    </w:p>
    <w:p w14:paraId="7F89A8CF" w14:textId="77777777" w:rsidR="007876A8" w:rsidRPr="00142369" w:rsidRDefault="007876A8" w:rsidP="00625D6F">
      <w:pPr>
        <w:numPr>
          <w:ilvl w:val="0"/>
          <w:numId w:val="14"/>
        </w:numPr>
        <w:spacing w:after="160"/>
        <w:ind w:left="1440"/>
        <w:contextualSpacing/>
        <w:jc w:val="both"/>
        <w:rPr>
          <w:rFonts w:eastAsia="Calibri" w:cstheme="minorHAnsi"/>
          <w:sz w:val="20"/>
          <w:szCs w:val="20"/>
        </w:rPr>
      </w:pPr>
      <w:r w:rsidRPr="00142369">
        <w:rPr>
          <w:rFonts w:eastAsia="Calibri" w:cstheme="minorHAnsi"/>
          <w:sz w:val="20"/>
          <w:szCs w:val="20"/>
        </w:rPr>
        <w:t>Employment</w:t>
      </w:r>
    </w:p>
    <w:p w14:paraId="5F1E1CC3" w14:textId="77777777" w:rsidR="007876A8" w:rsidRPr="00142369" w:rsidRDefault="007876A8" w:rsidP="00625D6F">
      <w:pPr>
        <w:numPr>
          <w:ilvl w:val="0"/>
          <w:numId w:val="14"/>
        </w:numPr>
        <w:spacing w:after="160"/>
        <w:ind w:left="1440"/>
        <w:contextualSpacing/>
        <w:jc w:val="both"/>
        <w:rPr>
          <w:rFonts w:eastAsia="Calibri" w:cstheme="minorHAnsi"/>
          <w:sz w:val="20"/>
          <w:szCs w:val="20"/>
        </w:rPr>
      </w:pPr>
      <w:r w:rsidRPr="00142369">
        <w:rPr>
          <w:rFonts w:eastAsia="Calibri" w:cstheme="minorHAnsi"/>
          <w:sz w:val="20"/>
          <w:szCs w:val="20"/>
        </w:rPr>
        <w:t>Volume of exports</w:t>
      </w:r>
    </w:p>
    <w:p w14:paraId="21423F95" w14:textId="50E4943A" w:rsidR="007876A8" w:rsidRPr="00142369" w:rsidRDefault="007876A8" w:rsidP="00625D6F">
      <w:pPr>
        <w:numPr>
          <w:ilvl w:val="0"/>
          <w:numId w:val="14"/>
        </w:numPr>
        <w:spacing w:after="160"/>
        <w:ind w:left="1440"/>
        <w:contextualSpacing/>
        <w:jc w:val="both"/>
        <w:rPr>
          <w:rFonts w:eastAsia="Calibri" w:cstheme="minorHAnsi"/>
          <w:sz w:val="20"/>
          <w:szCs w:val="20"/>
        </w:rPr>
      </w:pPr>
      <w:r w:rsidRPr="00142369">
        <w:rPr>
          <w:rFonts w:eastAsia="Calibri" w:cstheme="minorHAnsi"/>
          <w:sz w:val="20"/>
          <w:szCs w:val="20"/>
        </w:rPr>
        <w:t>Volume of co</w:t>
      </w:r>
      <w:r w:rsidR="007F4C0C" w:rsidRPr="00142369">
        <w:rPr>
          <w:rFonts w:eastAsia="Calibri" w:cstheme="minorHAnsi"/>
          <w:sz w:val="20"/>
          <w:szCs w:val="20"/>
        </w:rPr>
        <w:t>-</w:t>
      </w:r>
      <w:r w:rsidRPr="00142369">
        <w:rPr>
          <w:rFonts w:eastAsia="Calibri" w:cstheme="minorHAnsi"/>
          <w:sz w:val="20"/>
          <w:szCs w:val="20"/>
        </w:rPr>
        <w:t>investments by the private sector</w:t>
      </w:r>
    </w:p>
    <w:p w14:paraId="058DE956" w14:textId="77777777" w:rsidR="007876A8" w:rsidRPr="00142369" w:rsidRDefault="007876A8" w:rsidP="00625D6F">
      <w:pPr>
        <w:numPr>
          <w:ilvl w:val="0"/>
          <w:numId w:val="14"/>
        </w:numPr>
        <w:spacing w:after="160"/>
        <w:ind w:left="1440"/>
        <w:contextualSpacing/>
        <w:jc w:val="both"/>
        <w:rPr>
          <w:rFonts w:eastAsia="Calibri" w:cstheme="minorHAnsi"/>
          <w:sz w:val="20"/>
          <w:szCs w:val="20"/>
        </w:rPr>
      </w:pPr>
      <w:r w:rsidRPr="00142369">
        <w:rPr>
          <w:rFonts w:eastAsia="Calibri" w:cstheme="minorHAnsi"/>
          <w:sz w:val="20"/>
          <w:szCs w:val="20"/>
        </w:rPr>
        <w:t>New products introduced</w:t>
      </w:r>
    </w:p>
    <w:p w14:paraId="0BDDEA4A" w14:textId="4A0B2D11" w:rsidR="001E0288" w:rsidRPr="00142369" w:rsidRDefault="007876A8" w:rsidP="00625D6F">
      <w:pPr>
        <w:numPr>
          <w:ilvl w:val="0"/>
          <w:numId w:val="14"/>
        </w:numPr>
        <w:spacing w:after="160"/>
        <w:ind w:left="1440"/>
        <w:contextualSpacing/>
        <w:jc w:val="both"/>
        <w:rPr>
          <w:rFonts w:eastAsia="Calibri" w:cstheme="minorHAnsi"/>
          <w:sz w:val="20"/>
          <w:szCs w:val="20"/>
        </w:rPr>
      </w:pPr>
      <w:r w:rsidRPr="00142369">
        <w:rPr>
          <w:rFonts w:eastAsia="Calibri" w:cstheme="minorHAnsi"/>
          <w:sz w:val="20"/>
          <w:szCs w:val="20"/>
        </w:rPr>
        <w:t>Number of training</w:t>
      </w:r>
      <w:r w:rsidR="005A22B0">
        <w:rPr>
          <w:rFonts w:eastAsia="Calibri" w:cstheme="minorHAnsi"/>
          <w:sz w:val="20"/>
          <w:szCs w:val="20"/>
        </w:rPr>
        <w:t xml:space="preserve"> </w:t>
      </w:r>
      <w:r w:rsidR="009F71C0">
        <w:rPr>
          <w:rFonts w:eastAsia="Calibri" w:cstheme="minorHAnsi"/>
          <w:sz w:val="20"/>
          <w:szCs w:val="20"/>
        </w:rPr>
        <w:t xml:space="preserve">programmes </w:t>
      </w:r>
      <w:r w:rsidR="00D72D8C">
        <w:rPr>
          <w:rFonts w:eastAsia="Calibri" w:cstheme="minorHAnsi"/>
          <w:sz w:val="20"/>
          <w:szCs w:val="20"/>
        </w:rPr>
        <w:t xml:space="preserve">received </w:t>
      </w:r>
      <w:r w:rsidRPr="00142369">
        <w:rPr>
          <w:rFonts w:eastAsia="Calibri" w:cstheme="minorHAnsi"/>
          <w:sz w:val="20"/>
          <w:szCs w:val="20"/>
        </w:rPr>
        <w:t>by SMEs</w:t>
      </w:r>
    </w:p>
    <w:p w14:paraId="38FBA89C" w14:textId="77777777" w:rsidR="001E0288" w:rsidRPr="00142369" w:rsidRDefault="001E0288" w:rsidP="000C2D6C">
      <w:pPr>
        <w:spacing w:after="160"/>
        <w:ind w:left="720"/>
        <w:contextualSpacing/>
        <w:jc w:val="both"/>
        <w:rPr>
          <w:rFonts w:eastAsia="Calibri" w:cstheme="minorHAnsi"/>
          <w:sz w:val="20"/>
          <w:szCs w:val="20"/>
        </w:rPr>
      </w:pPr>
    </w:p>
    <w:p w14:paraId="366E276F" w14:textId="0E694F08" w:rsidR="007876A8" w:rsidRPr="00142369" w:rsidRDefault="001E0288" w:rsidP="00BA5F1C">
      <w:pPr>
        <w:spacing w:after="160" w:line="259" w:lineRule="auto"/>
        <w:ind w:left="720"/>
        <w:jc w:val="both"/>
        <w:rPr>
          <w:rFonts w:eastAsia="Calibri" w:cstheme="minorHAnsi"/>
          <w:b/>
          <w:sz w:val="20"/>
          <w:szCs w:val="20"/>
        </w:rPr>
      </w:pPr>
      <w:r w:rsidRPr="00142369">
        <w:rPr>
          <w:rFonts w:eastAsia="Calibri" w:cstheme="minorHAnsi"/>
          <w:b/>
          <w:sz w:val="20"/>
          <w:szCs w:val="20"/>
        </w:rPr>
        <w:t>Features:</w:t>
      </w:r>
    </w:p>
    <w:p w14:paraId="3AEB952E" w14:textId="2031A10F"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SME Fund will be designed and governed </w:t>
      </w:r>
      <w:r w:rsidR="006C4B6E" w:rsidRPr="00142369">
        <w:rPr>
          <w:rFonts w:eastAsia="Calibri" w:cstheme="minorHAnsi"/>
          <w:sz w:val="20"/>
          <w:szCs w:val="20"/>
        </w:rPr>
        <w:t xml:space="preserve">according to the </w:t>
      </w:r>
      <w:r w:rsidRPr="00142369">
        <w:rPr>
          <w:rFonts w:eastAsia="Calibri" w:cstheme="minorHAnsi"/>
          <w:sz w:val="20"/>
          <w:szCs w:val="20"/>
        </w:rPr>
        <w:t>following international best practices and principles of:</w:t>
      </w:r>
    </w:p>
    <w:p w14:paraId="7AC6E6F7" w14:textId="77777777" w:rsidR="007876A8" w:rsidRPr="00142369" w:rsidRDefault="007876A8" w:rsidP="00625D6F">
      <w:pPr>
        <w:numPr>
          <w:ilvl w:val="0"/>
          <w:numId w:val="18"/>
        </w:numPr>
        <w:spacing w:after="160"/>
        <w:ind w:left="1440"/>
        <w:contextualSpacing/>
        <w:jc w:val="both"/>
        <w:rPr>
          <w:rFonts w:eastAsia="Calibri" w:cstheme="minorHAnsi"/>
          <w:sz w:val="20"/>
          <w:szCs w:val="20"/>
        </w:rPr>
      </w:pPr>
      <w:r w:rsidRPr="00142369">
        <w:rPr>
          <w:rFonts w:eastAsia="Calibri" w:cstheme="minorHAnsi"/>
          <w:sz w:val="20"/>
          <w:szCs w:val="20"/>
        </w:rPr>
        <w:t>Commercial orientation and market practices</w:t>
      </w:r>
    </w:p>
    <w:p w14:paraId="3B978918" w14:textId="479DD38F" w:rsidR="007876A8" w:rsidRPr="00142369" w:rsidRDefault="007876A8" w:rsidP="00625D6F">
      <w:pPr>
        <w:numPr>
          <w:ilvl w:val="0"/>
          <w:numId w:val="18"/>
        </w:numPr>
        <w:spacing w:after="160"/>
        <w:ind w:left="1440"/>
        <w:contextualSpacing/>
        <w:jc w:val="both"/>
        <w:rPr>
          <w:rFonts w:eastAsia="Calibri" w:cstheme="minorHAnsi"/>
          <w:sz w:val="20"/>
          <w:szCs w:val="20"/>
        </w:rPr>
      </w:pPr>
      <w:r w:rsidRPr="00142369">
        <w:rPr>
          <w:rFonts w:eastAsia="Calibri" w:cstheme="minorHAnsi"/>
          <w:sz w:val="20"/>
          <w:szCs w:val="20"/>
        </w:rPr>
        <w:t>Professional and independent management competitively selected, based on objective criteria linked to experience, expertise</w:t>
      </w:r>
      <w:r w:rsidR="002C5619">
        <w:rPr>
          <w:rFonts w:eastAsia="Calibri" w:cstheme="minorHAnsi"/>
          <w:sz w:val="20"/>
          <w:szCs w:val="20"/>
        </w:rPr>
        <w:t>,</w:t>
      </w:r>
      <w:r w:rsidRPr="00142369">
        <w:rPr>
          <w:rFonts w:eastAsia="Calibri" w:cstheme="minorHAnsi"/>
          <w:sz w:val="20"/>
          <w:szCs w:val="20"/>
        </w:rPr>
        <w:t xml:space="preserve"> and operational capacity</w:t>
      </w:r>
    </w:p>
    <w:p w14:paraId="3F731ED5" w14:textId="77777777" w:rsidR="007876A8" w:rsidRPr="00142369" w:rsidRDefault="007876A8" w:rsidP="00625D6F">
      <w:pPr>
        <w:numPr>
          <w:ilvl w:val="0"/>
          <w:numId w:val="18"/>
        </w:numPr>
        <w:spacing w:after="160"/>
        <w:ind w:left="1440"/>
        <w:contextualSpacing/>
        <w:jc w:val="both"/>
        <w:rPr>
          <w:rFonts w:eastAsia="Calibri" w:cstheme="minorHAnsi"/>
          <w:sz w:val="20"/>
          <w:szCs w:val="20"/>
        </w:rPr>
      </w:pPr>
      <w:r w:rsidRPr="00142369">
        <w:rPr>
          <w:rFonts w:eastAsia="Calibri" w:cstheme="minorHAnsi"/>
          <w:sz w:val="20"/>
          <w:szCs w:val="20"/>
        </w:rPr>
        <w:t>Good governance and transparency</w:t>
      </w:r>
    </w:p>
    <w:p w14:paraId="3E72A54D" w14:textId="77777777" w:rsidR="007876A8" w:rsidRPr="00142369" w:rsidRDefault="007876A8" w:rsidP="00625D6F">
      <w:pPr>
        <w:numPr>
          <w:ilvl w:val="0"/>
          <w:numId w:val="18"/>
        </w:numPr>
        <w:spacing w:after="160"/>
        <w:ind w:left="1440"/>
        <w:contextualSpacing/>
        <w:jc w:val="both"/>
        <w:rPr>
          <w:rFonts w:eastAsia="Calibri" w:cstheme="minorHAnsi"/>
          <w:sz w:val="20"/>
          <w:szCs w:val="20"/>
        </w:rPr>
      </w:pPr>
      <w:r w:rsidRPr="00142369">
        <w:rPr>
          <w:rFonts w:eastAsia="Calibri" w:cstheme="minorHAnsi"/>
          <w:sz w:val="20"/>
          <w:szCs w:val="20"/>
        </w:rPr>
        <w:t>Financial, social, and environmental sustainability</w:t>
      </w:r>
    </w:p>
    <w:p w14:paraId="4F3C3F3B" w14:textId="77777777" w:rsidR="007876A8" w:rsidRPr="00142369" w:rsidRDefault="007876A8" w:rsidP="00625D6F">
      <w:pPr>
        <w:numPr>
          <w:ilvl w:val="0"/>
          <w:numId w:val="18"/>
        </w:numPr>
        <w:spacing w:after="160"/>
        <w:ind w:left="1440"/>
        <w:contextualSpacing/>
        <w:jc w:val="both"/>
        <w:rPr>
          <w:rFonts w:eastAsia="Calibri" w:cstheme="minorHAnsi"/>
          <w:sz w:val="20"/>
          <w:szCs w:val="20"/>
        </w:rPr>
      </w:pPr>
      <w:r w:rsidRPr="00142369">
        <w:rPr>
          <w:rFonts w:eastAsia="Calibri" w:cstheme="minorHAnsi"/>
          <w:sz w:val="20"/>
          <w:szCs w:val="20"/>
        </w:rPr>
        <w:t>Market competition</w:t>
      </w:r>
    </w:p>
    <w:p w14:paraId="02A5AA25" w14:textId="77777777" w:rsidR="007876A8" w:rsidRPr="00142369" w:rsidRDefault="007876A8" w:rsidP="00BA5F1C">
      <w:pPr>
        <w:spacing w:after="160" w:line="259" w:lineRule="auto"/>
        <w:ind w:left="720"/>
        <w:jc w:val="both"/>
        <w:rPr>
          <w:rFonts w:eastAsia="Calibri" w:cstheme="minorHAnsi"/>
          <w:b/>
          <w:sz w:val="20"/>
          <w:szCs w:val="20"/>
        </w:rPr>
      </w:pPr>
    </w:p>
    <w:p w14:paraId="287CFA40" w14:textId="77777777" w:rsidR="007876A8" w:rsidRPr="00142369" w:rsidRDefault="007876A8" w:rsidP="000C2D6C">
      <w:pPr>
        <w:spacing w:after="160"/>
        <w:ind w:left="720"/>
        <w:jc w:val="both"/>
        <w:rPr>
          <w:rFonts w:eastAsia="Calibri" w:cstheme="minorHAnsi"/>
          <w:b/>
          <w:sz w:val="20"/>
          <w:szCs w:val="20"/>
        </w:rPr>
      </w:pPr>
      <w:r w:rsidRPr="00142369">
        <w:rPr>
          <w:rFonts w:eastAsia="Calibri" w:cstheme="minorHAnsi"/>
          <w:b/>
          <w:sz w:val="20"/>
          <w:szCs w:val="20"/>
        </w:rPr>
        <w:t>Eligibility Criteria</w:t>
      </w:r>
    </w:p>
    <w:p w14:paraId="5D99348E" w14:textId="77777777" w:rsidR="007876A8" w:rsidRPr="00142369" w:rsidRDefault="007876A8" w:rsidP="00625D6F">
      <w:pPr>
        <w:numPr>
          <w:ilvl w:val="0"/>
          <w:numId w:val="15"/>
        </w:numPr>
        <w:spacing w:after="160"/>
        <w:ind w:left="1440"/>
        <w:contextualSpacing/>
        <w:jc w:val="both"/>
        <w:rPr>
          <w:rFonts w:eastAsia="Calibri" w:cstheme="minorHAnsi"/>
          <w:b/>
          <w:sz w:val="20"/>
          <w:szCs w:val="20"/>
        </w:rPr>
      </w:pPr>
      <w:r w:rsidRPr="00142369">
        <w:rPr>
          <w:rFonts w:eastAsia="Calibri" w:cstheme="minorHAnsi"/>
          <w:b/>
          <w:sz w:val="20"/>
          <w:szCs w:val="20"/>
        </w:rPr>
        <w:t>Eligible Beneficiaries / Investees</w:t>
      </w:r>
    </w:p>
    <w:p w14:paraId="59820B1E" w14:textId="387549AA" w:rsidR="007876A8" w:rsidRPr="00D16CFA" w:rsidRDefault="007876A8" w:rsidP="000C2D6C">
      <w:pPr>
        <w:spacing w:after="160"/>
        <w:ind w:left="720"/>
        <w:jc w:val="both"/>
        <w:rPr>
          <w:rFonts w:eastAsia="Calibri" w:cstheme="minorHAnsi"/>
          <w:sz w:val="20"/>
          <w:szCs w:val="20"/>
        </w:rPr>
      </w:pPr>
      <w:r w:rsidRPr="00142369">
        <w:rPr>
          <w:rFonts w:eastAsia="Calibri" w:cstheme="minorHAnsi"/>
          <w:sz w:val="20"/>
          <w:szCs w:val="20"/>
        </w:rPr>
        <w:t>The key beneficiaries of the SME Fund will be SMEs, as nationally defined</w:t>
      </w:r>
      <w:r w:rsidR="001E0288" w:rsidRPr="00142369">
        <w:rPr>
          <w:rFonts w:eastAsia="Calibri" w:cstheme="minorHAnsi"/>
          <w:sz w:val="20"/>
          <w:szCs w:val="20"/>
        </w:rPr>
        <w:t xml:space="preserve"> and updated in 2017</w:t>
      </w:r>
      <w:r w:rsidR="005143D5" w:rsidRPr="00142369">
        <w:rPr>
          <w:rStyle w:val="FootnoteReference"/>
          <w:rFonts w:eastAsia="Calibri" w:cstheme="minorHAnsi"/>
          <w:sz w:val="20"/>
          <w:szCs w:val="20"/>
        </w:rPr>
        <w:footnoteReference w:id="3"/>
      </w:r>
      <w:r w:rsidRPr="00142369">
        <w:rPr>
          <w:rFonts w:eastAsia="Calibri" w:cstheme="minorHAnsi"/>
          <w:sz w:val="20"/>
          <w:szCs w:val="20"/>
        </w:rPr>
        <w:t xml:space="preserve">, that are established and require </w:t>
      </w:r>
      <w:r w:rsidR="00A26281" w:rsidRPr="00142369">
        <w:rPr>
          <w:rFonts w:eastAsia="Calibri" w:cstheme="minorHAnsi"/>
          <w:sz w:val="20"/>
          <w:szCs w:val="20"/>
        </w:rPr>
        <w:t xml:space="preserve">an </w:t>
      </w:r>
      <w:r w:rsidRPr="00142369">
        <w:rPr>
          <w:rFonts w:eastAsia="Calibri" w:cstheme="minorHAnsi"/>
          <w:sz w:val="20"/>
          <w:szCs w:val="20"/>
        </w:rPr>
        <w:t xml:space="preserve">infusion of growth equity to expand their business. Eligible firms must be able to demonstrate sustained positive cash flow and a growing customer base, immediately </w:t>
      </w:r>
      <w:r w:rsidRPr="00D16CFA">
        <w:rPr>
          <w:rFonts w:eastAsia="Calibri" w:cstheme="minorHAnsi"/>
          <w:sz w:val="20"/>
          <w:szCs w:val="20"/>
        </w:rPr>
        <w:t>anteceding the investment decision.</w:t>
      </w:r>
    </w:p>
    <w:p w14:paraId="7C219F89" w14:textId="109C23A4" w:rsidR="007F01D7" w:rsidRPr="007F01D7" w:rsidRDefault="007876A8" w:rsidP="007F01D7">
      <w:pPr>
        <w:ind w:left="720"/>
        <w:jc w:val="both"/>
        <w:rPr>
          <w:rFonts w:eastAsia="Times New Roman" w:cstheme="minorHAnsi"/>
          <w:color w:val="000000"/>
          <w:sz w:val="20"/>
          <w:szCs w:val="20"/>
        </w:rPr>
      </w:pPr>
      <w:r w:rsidRPr="007F01D7">
        <w:rPr>
          <w:rFonts w:eastAsia="Calibri" w:cstheme="minorHAnsi"/>
          <w:sz w:val="20"/>
          <w:szCs w:val="20"/>
        </w:rPr>
        <w:t xml:space="preserve">The SME Fund will be sector-neutral, </w:t>
      </w:r>
      <w:r w:rsidR="009F71C0" w:rsidRPr="007F01D7">
        <w:rPr>
          <w:rFonts w:eastAsia="Calibri" w:cstheme="minorHAnsi"/>
          <w:sz w:val="20"/>
          <w:szCs w:val="20"/>
        </w:rPr>
        <w:t>however</w:t>
      </w:r>
      <w:r w:rsidR="00E00635" w:rsidRPr="007F01D7">
        <w:rPr>
          <w:rFonts w:eastAsia="Calibri" w:cstheme="minorHAnsi"/>
          <w:sz w:val="20"/>
          <w:szCs w:val="20"/>
        </w:rPr>
        <w:t xml:space="preserve"> eligible</w:t>
      </w:r>
      <w:r w:rsidR="009F71C0" w:rsidRPr="007F01D7">
        <w:rPr>
          <w:rFonts w:eastAsia="Calibri" w:cstheme="minorHAnsi"/>
          <w:sz w:val="20"/>
          <w:szCs w:val="20"/>
        </w:rPr>
        <w:t xml:space="preserve"> sector-specific funds may be considered</w:t>
      </w:r>
      <w:r w:rsidR="00AA6274" w:rsidRPr="007F01D7">
        <w:rPr>
          <w:rFonts w:eastAsia="Calibri" w:cstheme="minorHAnsi"/>
          <w:sz w:val="20"/>
          <w:szCs w:val="20"/>
        </w:rPr>
        <w:t xml:space="preserve">. </w:t>
      </w:r>
      <w:r w:rsidR="00D16CFA" w:rsidRPr="007F01D7">
        <w:rPr>
          <w:rFonts w:eastAsia="Calibri" w:cstheme="minorHAnsi"/>
          <w:sz w:val="20"/>
          <w:szCs w:val="20"/>
        </w:rPr>
        <w:t>Other exceptions</w:t>
      </w:r>
      <w:r w:rsidR="009F71C0" w:rsidRPr="007F01D7">
        <w:rPr>
          <w:rFonts w:eastAsia="Calibri" w:cstheme="minorHAnsi"/>
          <w:sz w:val="20"/>
          <w:szCs w:val="20"/>
        </w:rPr>
        <w:t xml:space="preserve"> are</w:t>
      </w:r>
      <w:r w:rsidRPr="007F01D7">
        <w:rPr>
          <w:rFonts w:eastAsia="Calibri" w:cstheme="minorHAnsi"/>
          <w:sz w:val="20"/>
          <w:szCs w:val="20"/>
        </w:rPr>
        <w:t xml:space="preserve"> described in the </w:t>
      </w:r>
      <w:r w:rsidR="00D16CFA" w:rsidRPr="007F01D7">
        <w:rPr>
          <w:rFonts w:eastAsia="Calibri" w:cstheme="minorHAnsi"/>
          <w:sz w:val="20"/>
          <w:szCs w:val="20"/>
        </w:rPr>
        <w:t>DBJ’s Environmental</w:t>
      </w:r>
      <w:r w:rsidR="001E0288" w:rsidRPr="007F01D7">
        <w:rPr>
          <w:rFonts w:eastAsia="Calibri" w:cstheme="minorHAnsi"/>
          <w:sz w:val="20"/>
          <w:szCs w:val="20"/>
        </w:rPr>
        <w:t xml:space="preserve"> and</w:t>
      </w:r>
      <w:r w:rsidR="001E0288" w:rsidRPr="007F01D7">
        <w:rPr>
          <w:rFonts w:eastAsia="Calibri" w:cstheme="minorHAnsi"/>
          <w:spacing w:val="12"/>
          <w:sz w:val="20"/>
          <w:szCs w:val="20"/>
        </w:rPr>
        <w:t xml:space="preserve"> </w:t>
      </w:r>
      <w:r w:rsidR="001E0288" w:rsidRPr="007F01D7">
        <w:rPr>
          <w:rFonts w:eastAsia="Calibri" w:cstheme="minorHAnsi"/>
          <w:sz w:val="20"/>
          <w:szCs w:val="20"/>
        </w:rPr>
        <w:t>Social</w:t>
      </w:r>
      <w:r w:rsidR="001E0288" w:rsidRPr="007F01D7">
        <w:rPr>
          <w:rFonts w:eastAsia="Calibri" w:cstheme="minorHAnsi"/>
          <w:spacing w:val="8"/>
          <w:sz w:val="20"/>
          <w:szCs w:val="20"/>
        </w:rPr>
        <w:t xml:space="preserve"> </w:t>
      </w:r>
      <w:r w:rsidR="00395046" w:rsidRPr="007F01D7">
        <w:rPr>
          <w:rFonts w:eastAsia="Calibri" w:cstheme="minorHAnsi"/>
          <w:spacing w:val="-1"/>
          <w:sz w:val="20"/>
          <w:szCs w:val="20"/>
        </w:rPr>
        <w:t xml:space="preserve">Safeguards </w:t>
      </w:r>
      <w:r w:rsidR="008A0D88" w:rsidRPr="007F01D7">
        <w:rPr>
          <w:rFonts w:eastAsia="Calibri" w:cstheme="minorHAnsi"/>
          <w:spacing w:val="-1"/>
          <w:sz w:val="20"/>
          <w:szCs w:val="20"/>
        </w:rPr>
        <w:t>Policy</w:t>
      </w:r>
      <w:r w:rsidR="007F01D7" w:rsidRPr="007F01D7">
        <w:rPr>
          <w:rFonts w:eastAsia="Calibri" w:cstheme="minorHAnsi"/>
          <w:spacing w:val="-1"/>
          <w:sz w:val="20"/>
          <w:szCs w:val="20"/>
        </w:rPr>
        <w:t>.</w:t>
      </w:r>
      <w:r w:rsidR="007F01D7" w:rsidRPr="007F01D7">
        <w:rPr>
          <w:rFonts w:eastAsia="Calibri" w:cstheme="minorHAnsi"/>
          <w:sz w:val="20"/>
          <w:szCs w:val="20"/>
        </w:rPr>
        <w:t xml:space="preserve"> </w:t>
      </w:r>
      <w:r w:rsidRPr="007F01D7">
        <w:rPr>
          <w:rFonts w:eastAsia="Calibri" w:cstheme="minorHAnsi"/>
          <w:sz w:val="20"/>
          <w:szCs w:val="20"/>
        </w:rPr>
        <w:t>SMEs seeking financing for very high-risk projects</w:t>
      </w:r>
      <w:r w:rsidR="007F01D7" w:rsidRPr="007F01D7">
        <w:rPr>
          <w:rFonts w:eastAsia="Calibri" w:cstheme="minorHAnsi"/>
          <w:sz w:val="20"/>
          <w:szCs w:val="20"/>
        </w:rPr>
        <w:t xml:space="preserve">. </w:t>
      </w:r>
      <w:r w:rsidR="007F01D7" w:rsidRPr="007F01D7">
        <w:rPr>
          <w:rFonts w:eastAsia="Times New Roman" w:cstheme="minorHAnsi"/>
          <w:color w:val="201F1E"/>
          <w:sz w:val="20"/>
          <w:szCs w:val="20"/>
          <w:shd w:val="clear" w:color="auto" w:fill="FFFFFF"/>
        </w:rPr>
        <w:t>SMEs seeking financing for activities included on the Policy’s Exclusion List are not eligible."</w:t>
      </w:r>
    </w:p>
    <w:p w14:paraId="6CF16E70" w14:textId="30F251F1" w:rsidR="007876A8" w:rsidRPr="00142369" w:rsidRDefault="007876A8" w:rsidP="000C2D6C">
      <w:pPr>
        <w:spacing w:after="160"/>
        <w:ind w:left="720"/>
        <w:jc w:val="both"/>
        <w:rPr>
          <w:rFonts w:eastAsia="Calibri" w:cstheme="minorHAnsi"/>
          <w:sz w:val="20"/>
          <w:szCs w:val="20"/>
        </w:rPr>
      </w:pPr>
    </w:p>
    <w:p w14:paraId="0526B826" w14:textId="6B696A07"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Additional criteria applied are: (</w:t>
      </w:r>
      <w:proofErr w:type="spellStart"/>
      <w:r w:rsidRPr="00142369">
        <w:rPr>
          <w:rFonts w:eastAsia="Calibri" w:cstheme="minorHAnsi"/>
          <w:sz w:val="20"/>
          <w:szCs w:val="20"/>
        </w:rPr>
        <w:t>i</w:t>
      </w:r>
      <w:proofErr w:type="spellEnd"/>
      <w:r w:rsidRPr="00142369">
        <w:rPr>
          <w:rFonts w:eastAsia="Calibri" w:cstheme="minorHAnsi"/>
          <w:sz w:val="20"/>
          <w:szCs w:val="20"/>
        </w:rPr>
        <w:t xml:space="preserve">) the SME has a legal form in Jamaica; (ii) the SME operates or intends to commence operations in Jamaica, </w:t>
      </w:r>
      <w:r w:rsidR="002C5619" w:rsidRPr="00142369">
        <w:rPr>
          <w:rFonts w:eastAsia="Calibri" w:cstheme="minorHAnsi"/>
          <w:sz w:val="20"/>
          <w:szCs w:val="20"/>
        </w:rPr>
        <w:t>to</w:t>
      </w:r>
      <w:r w:rsidRPr="00142369">
        <w:rPr>
          <w:rFonts w:eastAsia="Calibri" w:cstheme="minorHAnsi"/>
          <w:sz w:val="20"/>
          <w:szCs w:val="20"/>
        </w:rPr>
        <w:t xml:space="preserve"> generate or expand enterprise production and employment in Jamaica</w:t>
      </w:r>
      <w:r w:rsidR="0089265B" w:rsidRPr="00142369">
        <w:rPr>
          <w:rFonts w:eastAsia="Calibri" w:cstheme="minorHAnsi"/>
          <w:sz w:val="20"/>
          <w:szCs w:val="20"/>
        </w:rPr>
        <w:t xml:space="preserve">. </w:t>
      </w:r>
    </w:p>
    <w:p w14:paraId="0C597D59" w14:textId="7909A452" w:rsidR="005E19D7"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Investees are required to provide financial and non-financial information, as required by reporting requirements, to the SME Fund Management Firm on a regular basis as defined in the Sub-financing Agreements to be entered into between the SME Fund and the beneficiaries (investees companies).</w:t>
      </w:r>
    </w:p>
    <w:p w14:paraId="178C679A" w14:textId="0DF0BBC5" w:rsidR="007876A8" w:rsidRPr="00142369" w:rsidRDefault="007876A8" w:rsidP="00625D6F">
      <w:pPr>
        <w:numPr>
          <w:ilvl w:val="0"/>
          <w:numId w:val="15"/>
        </w:numPr>
        <w:spacing w:after="160"/>
        <w:ind w:left="1440"/>
        <w:contextualSpacing/>
        <w:jc w:val="both"/>
        <w:rPr>
          <w:rFonts w:eastAsia="Calibri" w:cstheme="minorHAnsi"/>
          <w:b/>
          <w:sz w:val="20"/>
          <w:szCs w:val="20"/>
        </w:rPr>
      </w:pPr>
      <w:r w:rsidRPr="00142369">
        <w:rPr>
          <w:rFonts w:eastAsia="Calibri" w:cstheme="minorHAnsi"/>
          <w:b/>
          <w:sz w:val="20"/>
          <w:szCs w:val="20"/>
        </w:rPr>
        <w:t>Eligible Private Investor Partners</w:t>
      </w:r>
    </w:p>
    <w:p w14:paraId="006F4DB3" w14:textId="2E632765" w:rsidR="007876A8" w:rsidRPr="00142369" w:rsidRDefault="008654AA" w:rsidP="000C2D6C">
      <w:pPr>
        <w:spacing w:after="160"/>
        <w:ind w:left="720"/>
        <w:jc w:val="both"/>
        <w:rPr>
          <w:rFonts w:eastAsia="Calibri" w:cstheme="minorHAnsi"/>
          <w:sz w:val="20"/>
          <w:szCs w:val="20"/>
        </w:rPr>
      </w:pPr>
      <w:r w:rsidRPr="00142369">
        <w:rPr>
          <w:rFonts w:eastAsia="Calibri" w:cstheme="minorHAnsi"/>
          <w:sz w:val="20"/>
          <w:szCs w:val="20"/>
        </w:rPr>
        <w:t xml:space="preserve">Depending on the </w:t>
      </w:r>
      <w:r w:rsidR="007876A8" w:rsidRPr="00142369">
        <w:rPr>
          <w:rFonts w:eastAsia="Calibri" w:cstheme="minorHAnsi"/>
          <w:sz w:val="20"/>
          <w:szCs w:val="20"/>
        </w:rPr>
        <w:t xml:space="preserve">amount of investment, </w:t>
      </w:r>
      <w:r w:rsidR="002C5619" w:rsidRPr="00142369">
        <w:rPr>
          <w:rFonts w:eastAsia="Calibri" w:cstheme="minorHAnsi"/>
          <w:sz w:val="20"/>
          <w:szCs w:val="20"/>
        </w:rPr>
        <w:t>many</w:t>
      </w:r>
      <w:r w:rsidR="007876A8" w:rsidRPr="00142369">
        <w:rPr>
          <w:rFonts w:eastAsia="Calibri" w:cstheme="minorHAnsi"/>
          <w:sz w:val="20"/>
          <w:szCs w:val="20"/>
        </w:rPr>
        <w:t xml:space="preserve"> </w:t>
      </w:r>
      <w:r w:rsidR="00220AC3">
        <w:rPr>
          <w:rFonts w:eastAsia="Calibri" w:cstheme="minorHAnsi"/>
          <w:sz w:val="20"/>
          <w:szCs w:val="20"/>
        </w:rPr>
        <w:t>c</w:t>
      </w:r>
      <w:r w:rsidR="00B64013" w:rsidRPr="00142369">
        <w:rPr>
          <w:rFonts w:eastAsia="Calibri" w:cstheme="minorHAnsi"/>
          <w:sz w:val="20"/>
          <w:szCs w:val="20"/>
        </w:rPr>
        <w:t>o-</w:t>
      </w:r>
      <w:r w:rsidR="007876A8" w:rsidRPr="00142369">
        <w:rPr>
          <w:rFonts w:eastAsia="Calibri" w:cstheme="minorHAnsi"/>
          <w:sz w:val="20"/>
          <w:szCs w:val="20"/>
        </w:rPr>
        <w:t xml:space="preserve">investors of the SME Fund will be institutional or commercial investors – such as pension funds, insurance companies, </w:t>
      </w:r>
      <w:r w:rsidR="00BB20BA" w:rsidRPr="00142369">
        <w:rPr>
          <w:rFonts w:eastAsia="Calibri" w:cstheme="minorHAnsi"/>
          <w:sz w:val="20"/>
          <w:szCs w:val="20"/>
        </w:rPr>
        <w:t>Development Finance Institutions (</w:t>
      </w:r>
      <w:r w:rsidR="007876A8" w:rsidRPr="00142369">
        <w:rPr>
          <w:rFonts w:eastAsia="Calibri" w:cstheme="minorHAnsi"/>
          <w:sz w:val="20"/>
          <w:szCs w:val="20"/>
        </w:rPr>
        <w:t>DFIs</w:t>
      </w:r>
      <w:r w:rsidR="00BB20BA" w:rsidRPr="00142369">
        <w:rPr>
          <w:rFonts w:eastAsia="Calibri" w:cstheme="minorHAnsi"/>
          <w:sz w:val="20"/>
          <w:szCs w:val="20"/>
        </w:rPr>
        <w:t>)</w:t>
      </w:r>
      <w:r w:rsidR="007876A8" w:rsidRPr="00142369">
        <w:rPr>
          <w:rFonts w:eastAsia="Calibri" w:cstheme="minorHAnsi"/>
          <w:sz w:val="20"/>
          <w:szCs w:val="20"/>
        </w:rPr>
        <w:t xml:space="preserve">, standalone funds, holding companies, banks, and others. </w:t>
      </w:r>
    </w:p>
    <w:p w14:paraId="220A5C2C" w14:textId="1D85E516" w:rsidR="00464D74"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Investors with participation or ownership by </w:t>
      </w:r>
      <w:r w:rsidR="009A4A54" w:rsidRPr="00142369">
        <w:rPr>
          <w:rFonts w:eastAsia="Calibri" w:cstheme="minorHAnsi"/>
          <w:sz w:val="20"/>
          <w:szCs w:val="20"/>
        </w:rPr>
        <w:t>any public</w:t>
      </w:r>
      <w:r w:rsidRPr="00142369">
        <w:rPr>
          <w:rFonts w:eastAsia="Calibri" w:cstheme="minorHAnsi"/>
          <w:sz w:val="20"/>
          <w:szCs w:val="20"/>
        </w:rPr>
        <w:t xml:space="preserve"> entity or politically exposed persons</w:t>
      </w:r>
      <w:r w:rsidR="009A4A54" w:rsidRPr="00142369">
        <w:rPr>
          <w:rFonts w:eastAsia="Calibri" w:cstheme="minorHAnsi"/>
          <w:sz w:val="20"/>
          <w:szCs w:val="20"/>
        </w:rPr>
        <w:t xml:space="preserve"> </w:t>
      </w:r>
      <w:r w:rsidR="001C4784" w:rsidRPr="00142369">
        <w:rPr>
          <w:rFonts w:eastAsia="Calibri" w:cstheme="minorHAnsi"/>
          <w:sz w:val="20"/>
          <w:szCs w:val="20"/>
        </w:rPr>
        <w:t>will</w:t>
      </w:r>
      <w:r w:rsidR="009A4A54" w:rsidRPr="00142369">
        <w:rPr>
          <w:rFonts w:eastAsia="Calibri" w:cstheme="minorHAnsi"/>
          <w:sz w:val="20"/>
          <w:szCs w:val="20"/>
        </w:rPr>
        <w:t xml:space="preserve"> be required to undergo enhanced due diligence</w:t>
      </w:r>
      <w:r w:rsidRPr="00142369">
        <w:rPr>
          <w:rFonts w:eastAsia="Calibri" w:cstheme="minorHAnsi"/>
          <w:sz w:val="20"/>
          <w:szCs w:val="20"/>
        </w:rPr>
        <w:t>. In addition, eligible investors shall n</w:t>
      </w:r>
      <w:r w:rsidR="008654AA" w:rsidRPr="00142369">
        <w:rPr>
          <w:rFonts w:eastAsia="Calibri" w:cstheme="minorHAnsi"/>
          <w:sz w:val="20"/>
          <w:szCs w:val="20"/>
        </w:rPr>
        <w:t>either</w:t>
      </w:r>
      <w:r w:rsidRPr="00142369">
        <w:rPr>
          <w:rFonts w:eastAsia="Calibri" w:cstheme="minorHAnsi"/>
          <w:sz w:val="20"/>
          <w:szCs w:val="20"/>
        </w:rPr>
        <w:t xml:space="preserve"> </w:t>
      </w:r>
      <w:proofErr w:type="spellStart"/>
      <w:r w:rsidRPr="00142369">
        <w:rPr>
          <w:rFonts w:eastAsia="Calibri" w:cstheme="minorHAnsi"/>
          <w:sz w:val="20"/>
          <w:szCs w:val="20"/>
        </w:rPr>
        <w:t>be</w:t>
      </w:r>
      <w:proofErr w:type="spellEnd"/>
      <w:r w:rsidRPr="00142369">
        <w:rPr>
          <w:rFonts w:eastAsia="Calibri" w:cstheme="minorHAnsi"/>
          <w:sz w:val="20"/>
          <w:szCs w:val="20"/>
        </w:rPr>
        <w:t xml:space="preserve"> </w:t>
      </w:r>
      <w:r w:rsidR="008654AA" w:rsidRPr="00142369">
        <w:rPr>
          <w:rFonts w:eastAsia="Calibri" w:cstheme="minorHAnsi"/>
          <w:sz w:val="20"/>
          <w:szCs w:val="20"/>
        </w:rPr>
        <w:t xml:space="preserve">nor have been </w:t>
      </w:r>
      <w:r w:rsidRPr="00142369">
        <w:rPr>
          <w:rFonts w:eastAsia="Calibri" w:cstheme="minorHAnsi"/>
          <w:sz w:val="20"/>
          <w:szCs w:val="20"/>
        </w:rPr>
        <w:t>the subject of a conviction of criminal acts, including bribery, abuse of power, and fraud, as described in the SME Fund’s governing documents.</w:t>
      </w:r>
    </w:p>
    <w:p w14:paraId="0743ACFC" w14:textId="77777777" w:rsidR="007876A8" w:rsidRPr="00142369" w:rsidRDefault="007876A8" w:rsidP="00625D6F">
      <w:pPr>
        <w:numPr>
          <w:ilvl w:val="0"/>
          <w:numId w:val="15"/>
        </w:numPr>
        <w:spacing w:after="160"/>
        <w:ind w:left="1440"/>
        <w:contextualSpacing/>
        <w:jc w:val="both"/>
        <w:rPr>
          <w:rFonts w:eastAsia="Calibri" w:cstheme="minorHAnsi"/>
          <w:b/>
          <w:sz w:val="20"/>
          <w:szCs w:val="20"/>
        </w:rPr>
      </w:pPr>
      <w:r w:rsidRPr="00142369">
        <w:rPr>
          <w:rFonts w:eastAsia="Calibri" w:cstheme="minorHAnsi"/>
          <w:b/>
          <w:sz w:val="20"/>
          <w:szCs w:val="20"/>
        </w:rPr>
        <w:t>Eligible Instruments and Ticket Size</w:t>
      </w:r>
    </w:p>
    <w:p w14:paraId="4A4FF366" w14:textId="34B236FD"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The SME Fund will provide equity</w:t>
      </w:r>
      <w:r w:rsidR="00B64013" w:rsidRPr="00142369">
        <w:rPr>
          <w:rFonts w:eastAsia="Calibri" w:cstheme="minorHAnsi"/>
          <w:sz w:val="20"/>
          <w:szCs w:val="20"/>
        </w:rPr>
        <w:t>,</w:t>
      </w:r>
      <w:r w:rsidRPr="00142369">
        <w:rPr>
          <w:rFonts w:eastAsia="Calibri" w:cstheme="minorHAnsi"/>
          <w:sz w:val="20"/>
          <w:szCs w:val="20"/>
        </w:rPr>
        <w:t xml:space="preserve"> </w:t>
      </w:r>
      <w:r w:rsidR="00A26281" w:rsidRPr="00142369">
        <w:rPr>
          <w:rFonts w:eastAsia="Calibri" w:cstheme="minorHAnsi"/>
          <w:sz w:val="20"/>
          <w:szCs w:val="20"/>
        </w:rPr>
        <w:t>quasi-</w:t>
      </w:r>
      <w:r w:rsidRPr="00142369">
        <w:rPr>
          <w:rFonts w:eastAsia="Calibri" w:cstheme="minorHAnsi"/>
          <w:sz w:val="20"/>
          <w:szCs w:val="20"/>
        </w:rPr>
        <w:t>equity investments</w:t>
      </w:r>
      <w:r w:rsidR="00B64013" w:rsidRPr="00142369">
        <w:rPr>
          <w:rFonts w:eastAsia="Calibri" w:cstheme="minorHAnsi"/>
          <w:sz w:val="20"/>
          <w:szCs w:val="20"/>
        </w:rPr>
        <w:t xml:space="preserve"> or </w:t>
      </w:r>
      <w:r w:rsidR="00297FA8" w:rsidRPr="00142369">
        <w:rPr>
          <w:rFonts w:eastAsia="Calibri" w:cstheme="minorHAnsi"/>
          <w:sz w:val="20"/>
          <w:szCs w:val="20"/>
        </w:rPr>
        <w:t>s</w:t>
      </w:r>
      <w:r w:rsidR="00FC7141" w:rsidRPr="00142369">
        <w:rPr>
          <w:rFonts w:eastAsia="Calibri" w:cstheme="minorHAnsi"/>
          <w:sz w:val="20"/>
          <w:szCs w:val="20"/>
        </w:rPr>
        <w:t>elf-liquidating</w:t>
      </w:r>
      <w:r w:rsidR="00B64013" w:rsidRPr="00142369">
        <w:rPr>
          <w:rFonts w:eastAsia="Calibri" w:cstheme="minorHAnsi"/>
          <w:sz w:val="20"/>
          <w:szCs w:val="20"/>
        </w:rPr>
        <w:t xml:space="preserve"> structures</w:t>
      </w:r>
      <w:r w:rsidRPr="00142369">
        <w:rPr>
          <w:rFonts w:eastAsia="Calibri" w:cstheme="minorHAnsi"/>
          <w:sz w:val="20"/>
          <w:szCs w:val="20"/>
        </w:rPr>
        <w:t xml:space="preserve">. </w:t>
      </w:r>
    </w:p>
    <w:p w14:paraId="78395E34" w14:textId="2CEB28BB"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The estimated minimum and maximum ticket size</w:t>
      </w:r>
      <w:r w:rsidR="00A26281" w:rsidRPr="00142369">
        <w:rPr>
          <w:rFonts w:eastAsia="Calibri" w:cstheme="minorHAnsi"/>
          <w:sz w:val="20"/>
          <w:szCs w:val="20"/>
        </w:rPr>
        <w:t>s</w:t>
      </w:r>
      <w:r w:rsidRPr="00142369">
        <w:rPr>
          <w:rFonts w:eastAsia="Calibri" w:cstheme="minorHAnsi"/>
          <w:sz w:val="20"/>
          <w:szCs w:val="20"/>
        </w:rPr>
        <w:t xml:space="preserve"> </w:t>
      </w:r>
      <w:r w:rsidR="00A26281" w:rsidRPr="00142369">
        <w:rPr>
          <w:rFonts w:eastAsia="Calibri" w:cstheme="minorHAnsi"/>
          <w:sz w:val="20"/>
          <w:szCs w:val="20"/>
        </w:rPr>
        <w:t xml:space="preserve">are </w:t>
      </w:r>
      <w:r w:rsidR="009F71C0">
        <w:rPr>
          <w:rFonts w:eastAsia="Calibri" w:cstheme="minorHAnsi"/>
          <w:sz w:val="20"/>
          <w:szCs w:val="20"/>
        </w:rPr>
        <w:t>J$15 million and J$300 million</w:t>
      </w:r>
      <w:r w:rsidR="00464D74" w:rsidRPr="00142369">
        <w:rPr>
          <w:rFonts w:eastAsia="Calibri" w:cstheme="minorHAnsi"/>
          <w:sz w:val="20"/>
          <w:szCs w:val="20"/>
        </w:rPr>
        <w:t xml:space="preserve"> </w:t>
      </w:r>
      <w:r w:rsidRPr="00142369">
        <w:rPr>
          <w:rFonts w:eastAsia="Calibri" w:cstheme="minorHAnsi"/>
          <w:sz w:val="20"/>
          <w:szCs w:val="20"/>
        </w:rPr>
        <w:t xml:space="preserve">respectively. </w:t>
      </w:r>
    </w:p>
    <w:p w14:paraId="49A8BEE5" w14:textId="6F713783" w:rsidR="008A5A0A"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Investees may receive follow-on financing. A maximum of 10% of the SME Fund’s capital may be invested in one investee, with a possible increase to 15% (contingent on permission from the SME Fund’s Advisory Committee, as defined in the Shareholders Agreement).</w:t>
      </w:r>
    </w:p>
    <w:p w14:paraId="70D1A563" w14:textId="77777777" w:rsidR="0097634B" w:rsidRPr="00142369" w:rsidRDefault="0097634B" w:rsidP="000C2D6C">
      <w:pPr>
        <w:spacing w:after="160"/>
        <w:jc w:val="both"/>
        <w:rPr>
          <w:rFonts w:eastAsia="Calibri" w:cstheme="minorHAnsi"/>
          <w:sz w:val="20"/>
          <w:szCs w:val="20"/>
        </w:rPr>
      </w:pPr>
    </w:p>
    <w:p w14:paraId="66093BE1" w14:textId="77777777" w:rsidR="007876A8" w:rsidRPr="00142369" w:rsidRDefault="007876A8" w:rsidP="000C2D6C">
      <w:pPr>
        <w:spacing w:after="160"/>
        <w:ind w:left="720"/>
        <w:jc w:val="both"/>
        <w:rPr>
          <w:rFonts w:eastAsia="Calibri" w:cstheme="minorHAnsi"/>
          <w:b/>
          <w:sz w:val="20"/>
          <w:szCs w:val="20"/>
        </w:rPr>
      </w:pPr>
      <w:r w:rsidRPr="00142369">
        <w:rPr>
          <w:rFonts w:eastAsia="Calibri" w:cstheme="minorHAnsi"/>
          <w:b/>
          <w:sz w:val="20"/>
          <w:szCs w:val="20"/>
        </w:rPr>
        <w:t>Financial Features</w:t>
      </w:r>
    </w:p>
    <w:p w14:paraId="0B4B1530" w14:textId="77777777" w:rsidR="007876A8" w:rsidRPr="00142369" w:rsidRDefault="007876A8" w:rsidP="00625D6F">
      <w:pPr>
        <w:numPr>
          <w:ilvl w:val="0"/>
          <w:numId w:val="16"/>
        </w:numPr>
        <w:spacing w:after="160"/>
        <w:ind w:left="1440"/>
        <w:contextualSpacing/>
        <w:jc w:val="both"/>
        <w:rPr>
          <w:rFonts w:eastAsia="Calibri" w:cstheme="minorHAnsi"/>
          <w:b/>
          <w:sz w:val="20"/>
          <w:szCs w:val="20"/>
        </w:rPr>
      </w:pPr>
      <w:r w:rsidRPr="00142369">
        <w:rPr>
          <w:rFonts w:eastAsia="Calibri" w:cstheme="minorHAnsi"/>
          <w:b/>
          <w:sz w:val="20"/>
          <w:szCs w:val="20"/>
        </w:rPr>
        <w:t>Management Fees</w:t>
      </w:r>
    </w:p>
    <w:p w14:paraId="5A787BDF" w14:textId="16F7958B"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In line with best practices, the remuneration of the SME Fund Management Firm shall reflect the current market remuneration, including management fees and </w:t>
      </w:r>
      <w:r w:rsidR="00A26281" w:rsidRPr="00142369">
        <w:rPr>
          <w:rFonts w:eastAsia="Calibri" w:cstheme="minorHAnsi"/>
          <w:sz w:val="20"/>
          <w:szCs w:val="20"/>
        </w:rPr>
        <w:t>profit-</w:t>
      </w:r>
      <w:r w:rsidRPr="00142369">
        <w:rPr>
          <w:rFonts w:eastAsia="Calibri" w:cstheme="minorHAnsi"/>
          <w:sz w:val="20"/>
          <w:szCs w:val="20"/>
        </w:rPr>
        <w:t>sharing, in comparable situations, which is ensured through the competitive bidding</w:t>
      </w:r>
      <w:r w:rsidR="001B6095" w:rsidRPr="00142369">
        <w:rPr>
          <w:rFonts w:eastAsia="Calibri" w:cstheme="minorHAnsi"/>
          <w:sz w:val="20"/>
          <w:szCs w:val="20"/>
        </w:rPr>
        <w:t xml:space="preserve">. </w:t>
      </w:r>
      <w:r w:rsidRPr="00142369">
        <w:rPr>
          <w:rFonts w:eastAsia="Calibri" w:cstheme="minorHAnsi"/>
          <w:sz w:val="20"/>
          <w:szCs w:val="20"/>
        </w:rPr>
        <w:t xml:space="preserve">They will be based on international best practices and market principles. </w:t>
      </w:r>
    </w:p>
    <w:p w14:paraId="24AA0D4B" w14:textId="77777777" w:rsidR="007876A8" w:rsidRPr="00142369" w:rsidRDefault="007876A8" w:rsidP="00625D6F">
      <w:pPr>
        <w:numPr>
          <w:ilvl w:val="0"/>
          <w:numId w:val="16"/>
        </w:numPr>
        <w:spacing w:after="160"/>
        <w:ind w:left="1440"/>
        <w:contextualSpacing/>
        <w:jc w:val="both"/>
        <w:rPr>
          <w:rFonts w:eastAsia="Calibri" w:cstheme="minorHAnsi"/>
          <w:b/>
          <w:sz w:val="20"/>
          <w:szCs w:val="20"/>
        </w:rPr>
      </w:pPr>
      <w:bookmarkStart w:id="18" w:name="_Hlk43211517"/>
      <w:r w:rsidRPr="00142369">
        <w:rPr>
          <w:rFonts w:eastAsia="Calibri" w:cstheme="minorHAnsi"/>
          <w:b/>
          <w:sz w:val="20"/>
          <w:szCs w:val="20"/>
        </w:rPr>
        <w:t>Returns</w:t>
      </w:r>
    </w:p>
    <w:bookmarkEnd w:id="18"/>
    <w:p w14:paraId="2ACCC12D" w14:textId="1F173089" w:rsidR="007876A8" w:rsidRDefault="007876A8">
      <w:pPr>
        <w:spacing w:after="240"/>
        <w:ind w:left="720"/>
        <w:jc w:val="both"/>
        <w:rPr>
          <w:rFonts w:eastAsia="Calibri" w:cstheme="minorHAnsi"/>
          <w:sz w:val="20"/>
          <w:szCs w:val="20"/>
        </w:rPr>
      </w:pPr>
      <w:r w:rsidRPr="00142369">
        <w:rPr>
          <w:rFonts w:eastAsia="Calibri" w:cstheme="minorHAnsi"/>
          <w:sz w:val="20"/>
          <w:szCs w:val="20"/>
        </w:rPr>
        <w:t xml:space="preserve">To incentivize </w:t>
      </w:r>
      <w:r w:rsidR="00B64013" w:rsidRPr="00142369">
        <w:rPr>
          <w:rFonts w:eastAsia="Calibri" w:cstheme="minorHAnsi"/>
          <w:sz w:val="20"/>
          <w:szCs w:val="20"/>
        </w:rPr>
        <w:t>co-investment mobilization</w:t>
      </w:r>
      <w:r w:rsidR="00464D74" w:rsidRPr="00142369">
        <w:rPr>
          <w:rFonts w:eastAsia="Calibri" w:cstheme="minorHAnsi"/>
          <w:sz w:val="20"/>
          <w:szCs w:val="20"/>
        </w:rPr>
        <w:t xml:space="preserve"> </w:t>
      </w:r>
      <w:r w:rsidRPr="00142369">
        <w:rPr>
          <w:rFonts w:eastAsia="Calibri" w:cstheme="minorHAnsi"/>
          <w:sz w:val="20"/>
          <w:szCs w:val="20"/>
        </w:rPr>
        <w:t>the SME Fund could be structured to deliver asymmetric positive returns to co</w:t>
      </w:r>
      <w:r w:rsidR="00BB20BA" w:rsidRPr="00142369">
        <w:rPr>
          <w:rFonts w:eastAsia="Calibri" w:cstheme="minorHAnsi"/>
          <w:sz w:val="20"/>
          <w:szCs w:val="20"/>
        </w:rPr>
        <w:t>-</w:t>
      </w:r>
      <w:r w:rsidRPr="00142369">
        <w:rPr>
          <w:rFonts w:eastAsia="Calibri" w:cstheme="minorHAnsi"/>
          <w:sz w:val="20"/>
          <w:szCs w:val="20"/>
        </w:rPr>
        <w:t>investors, based on the winning bid’s proposal.</w:t>
      </w:r>
    </w:p>
    <w:p w14:paraId="0B0BC8BC" w14:textId="0AA2CAB4" w:rsidR="006D7F1C" w:rsidRPr="006D7F1C" w:rsidRDefault="006D7F1C" w:rsidP="00625D6F">
      <w:pPr>
        <w:numPr>
          <w:ilvl w:val="0"/>
          <w:numId w:val="16"/>
        </w:numPr>
        <w:spacing w:after="160"/>
        <w:ind w:left="1440"/>
        <w:contextualSpacing/>
        <w:jc w:val="both"/>
        <w:rPr>
          <w:rFonts w:eastAsia="Calibri" w:cstheme="minorHAnsi"/>
          <w:b/>
          <w:bCs/>
          <w:sz w:val="20"/>
          <w:szCs w:val="20"/>
        </w:rPr>
      </w:pPr>
      <w:r w:rsidRPr="006D7F1C">
        <w:rPr>
          <w:rFonts w:eastAsia="Calibri" w:cstheme="minorHAnsi"/>
          <w:b/>
          <w:bCs/>
          <w:sz w:val="20"/>
          <w:szCs w:val="20"/>
        </w:rPr>
        <w:t xml:space="preserve">Technical Assistance </w:t>
      </w:r>
    </w:p>
    <w:p w14:paraId="57ADCB50" w14:textId="2506E712" w:rsidR="006D7F1C" w:rsidRDefault="006D7F1C">
      <w:pPr>
        <w:spacing w:after="240"/>
        <w:ind w:left="720"/>
        <w:jc w:val="both"/>
        <w:rPr>
          <w:rFonts w:eastAsia="Calibri" w:cstheme="minorHAnsi"/>
          <w:sz w:val="20"/>
          <w:szCs w:val="20"/>
        </w:rPr>
      </w:pPr>
      <w:r>
        <w:rPr>
          <w:rFonts w:eastAsia="Calibri" w:cstheme="minorHAnsi"/>
          <w:sz w:val="20"/>
          <w:szCs w:val="20"/>
        </w:rPr>
        <w:t>T</w:t>
      </w:r>
      <w:r w:rsidRPr="006D7F1C">
        <w:rPr>
          <w:rFonts w:eastAsia="Calibri" w:cstheme="minorHAnsi"/>
          <w:sz w:val="20"/>
          <w:szCs w:val="20"/>
        </w:rPr>
        <w:t xml:space="preserve">echnical assistance / grant facility would be available </w:t>
      </w:r>
      <w:r>
        <w:rPr>
          <w:rFonts w:eastAsia="Calibri" w:cstheme="minorHAnsi"/>
          <w:sz w:val="20"/>
          <w:szCs w:val="20"/>
        </w:rPr>
        <w:t>to the SME Fund</w:t>
      </w:r>
      <w:r w:rsidRPr="006D7F1C">
        <w:rPr>
          <w:rFonts w:eastAsia="Calibri" w:cstheme="minorHAnsi"/>
          <w:sz w:val="20"/>
          <w:szCs w:val="20"/>
        </w:rPr>
        <w:t xml:space="preserve"> </w:t>
      </w:r>
      <w:r w:rsidR="002C5619" w:rsidRPr="006D7F1C">
        <w:rPr>
          <w:rFonts w:eastAsia="Calibri" w:cstheme="minorHAnsi"/>
          <w:sz w:val="20"/>
          <w:szCs w:val="20"/>
        </w:rPr>
        <w:t>to</w:t>
      </w:r>
      <w:r w:rsidRPr="006D7F1C">
        <w:rPr>
          <w:rFonts w:eastAsia="Calibri" w:cstheme="minorHAnsi"/>
          <w:sz w:val="20"/>
          <w:szCs w:val="20"/>
        </w:rPr>
        <w:t xml:space="preserve"> support the economic viability of the fund</w:t>
      </w:r>
      <w:r w:rsidR="00EE274E">
        <w:rPr>
          <w:rFonts w:eastAsia="Calibri" w:cstheme="minorHAnsi"/>
          <w:sz w:val="20"/>
          <w:szCs w:val="20"/>
        </w:rPr>
        <w:t>.</w:t>
      </w:r>
    </w:p>
    <w:p w14:paraId="14DB6699" w14:textId="41E72B13" w:rsidR="00351575" w:rsidRDefault="00351575">
      <w:pPr>
        <w:spacing w:after="160" w:line="259" w:lineRule="auto"/>
        <w:rPr>
          <w:rFonts w:eastAsia="Calibri" w:cstheme="minorHAnsi"/>
          <w:sz w:val="20"/>
          <w:szCs w:val="20"/>
        </w:rPr>
      </w:pPr>
      <w:r>
        <w:rPr>
          <w:rFonts w:eastAsia="Calibri" w:cstheme="minorHAnsi"/>
          <w:sz w:val="20"/>
          <w:szCs w:val="20"/>
        </w:rPr>
        <w:br w:type="page"/>
      </w:r>
    </w:p>
    <w:p w14:paraId="0C1BA767" w14:textId="77777777" w:rsidR="007876A8" w:rsidRPr="00142369" w:rsidRDefault="007876A8" w:rsidP="000C2D6C">
      <w:pPr>
        <w:spacing w:after="160"/>
        <w:ind w:left="720"/>
        <w:jc w:val="both"/>
        <w:rPr>
          <w:rFonts w:eastAsia="Calibri" w:cstheme="minorHAnsi"/>
          <w:b/>
          <w:sz w:val="20"/>
          <w:szCs w:val="20"/>
        </w:rPr>
      </w:pPr>
      <w:r w:rsidRPr="00142369">
        <w:rPr>
          <w:rFonts w:eastAsia="Calibri" w:cstheme="minorHAnsi"/>
          <w:b/>
          <w:sz w:val="20"/>
          <w:szCs w:val="20"/>
        </w:rPr>
        <w:lastRenderedPageBreak/>
        <w:t>Governance Framework</w:t>
      </w:r>
    </w:p>
    <w:p w14:paraId="1BF1DBE8" w14:textId="511B307A"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The SME Fund will be governed by the following documents</w:t>
      </w:r>
      <w:r w:rsidR="001B6095">
        <w:rPr>
          <w:rFonts w:eastAsia="Calibri" w:cstheme="minorHAnsi"/>
          <w:sz w:val="20"/>
          <w:szCs w:val="20"/>
        </w:rPr>
        <w:t>:</w:t>
      </w:r>
      <w:r w:rsidRPr="00142369">
        <w:rPr>
          <w:rFonts w:eastAsia="Calibri" w:cstheme="minorHAnsi"/>
          <w:sz w:val="20"/>
          <w:szCs w:val="20"/>
        </w:rPr>
        <w:t xml:space="preserve"> </w:t>
      </w:r>
    </w:p>
    <w:tbl>
      <w:tblPr>
        <w:tblStyle w:val="TableGrid"/>
        <w:tblW w:w="9016" w:type="dxa"/>
        <w:tblInd w:w="720" w:type="dxa"/>
        <w:tblLook w:val="04A0" w:firstRow="1" w:lastRow="0" w:firstColumn="1" w:lastColumn="0" w:noHBand="0" w:noVBand="1"/>
      </w:tblPr>
      <w:tblGrid>
        <w:gridCol w:w="4935"/>
        <w:gridCol w:w="4081"/>
      </w:tblGrid>
      <w:tr w:rsidR="007876A8" w:rsidRPr="00142369" w14:paraId="233EBEFE" w14:textId="77777777" w:rsidTr="00BA5F1C">
        <w:tc>
          <w:tcPr>
            <w:tcW w:w="4935" w:type="dxa"/>
          </w:tcPr>
          <w:p w14:paraId="288E23AE" w14:textId="77777777" w:rsidR="007876A8" w:rsidRPr="00BB4913" w:rsidRDefault="007876A8">
            <w:pPr>
              <w:jc w:val="both"/>
              <w:rPr>
                <w:rFonts w:eastAsia="Calibri" w:cstheme="minorHAnsi"/>
                <w:b/>
                <w:sz w:val="20"/>
                <w:szCs w:val="20"/>
              </w:rPr>
            </w:pPr>
            <w:r w:rsidRPr="00BB4913">
              <w:rPr>
                <w:rFonts w:eastAsia="Calibri" w:cstheme="minorHAnsi"/>
                <w:b/>
                <w:sz w:val="20"/>
                <w:szCs w:val="20"/>
              </w:rPr>
              <w:t>Document</w:t>
            </w:r>
          </w:p>
        </w:tc>
        <w:tc>
          <w:tcPr>
            <w:tcW w:w="4081" w:type="dxa"/>
          </w:tcPr>
          <w:p w14:paraId="6FFBA03A" w14:textId="77777777" w:rsidR="007876A8" w:rsidRPr="00BB4913" w:rsidRDefault="007876A8">
            <w:pPr>
              <w:jc w:val="both"/>
              <w:rPr>
                <w:rFonts w:eastAsia="Calibri" w:cstheme="minorHAnsi"/>
                <w:b/>
                <w:sz w:val="20"/>
                <w:szCs w:val="20"/>
              </w:rPr>
            </w:pPr>
            <w:r w:rsidRPr="00BB4913">
              <w:rPr>
                <w:rFonts w:eastAsia="Calibri" w:cstheme="minorHAnsi"/>
                <w:b/>
                <w:sz w:val="20"/>
                <w:szCs w:val="20"/>
              </w:rPr>
              <w:t>Parties</w:t>
            </w:r>
          </w:p>
        </w:tc>
      </w:tr>
      <w:tr w:rsidR="007876A8" w:rsidRPr="00142369" w14:paraId="2821FA62" w14:textId="77777777" w:rsidTr="00BA5F1C">
        <w:tc>
          <w:tcPr>
            <w:tcW w:w="4935" w:type="dxa"/>
          </w:tcPr>
          <w:p w14:paraId="3931DBBC" w14:textId="5FCA4616" w:rsidR="007876A8" w:rsidRPr="00BB4913" w:rsidRDefault="007876A8">
            <w:pPr>
              <w:jc w:val="both"/>
              <w:rPr>
                <w:rFonts w:eastAsia="Calibri" w:cstheme="minorHAnsi"/>
                <w:sz w:val="20"/>
                <w:szCs w:val="20"/>
              </w:rPr>
            </w:pPr>
            <w:r w:rsidRPr="00BB4913">
              <w:rPr>
                <w:rFonts w:eastAsia="Calibri" w:cstheme="minorHAnsi"/>
                <w:sz w:val="20"/>
                <w:szCs w:val="20"/>
              </w:rPr>
              <w:t xml:space="preserve">Loan Agreement </w:t>
            </w:r>
          </w:p>
        </w:tc>
        <w:tc>
          <w:tcPr>
            <w:tcW w:w="4081" w:type="dxa"/>
          </w:tcPr>
          <w:p w14:paraId="48C77D62" w14:textId="3F3BFE44" w:rsidR="007876A8" w:rsidRPr="00BB4913" w:rsidRDefault="007876A8">
            <w:pPr>
              <w:jc w:val="both"/>
              <w:rPr>
                <w:rFonts w:eastAsia="Calibri" w:cstheme="minorHAnsi"/>
                <w:sz w:val="20"/>
                <w:szCs w:val="20"/>
              </w:rPr>
            </w:pPr>
            <w:r w:rsidRPr="00BB4913">
              <w:rPr>
                <w:rFonts w:eastAsia="Calibri" w:cstheme="minorHAnsi"/>
                <w:sz w:val="20"/>
                <w:szCs w:val="20"/>
              </w:rPr>
              <w:t xml:space="preserve">The </w:t>
            </w:r>
            <w:r w:rsidR="001B6095">
              <w:rPr>
                <w:rFonts w:eastAsia="Calibri" w:cstheme="minorHAnsi"/>
                <w:sz w:val="20"/>
                <w:szCs w:val="20"/>
              </w:rPr>
              <w:t xml:space="preserve">MOFPS </w:t>
            </w:r>
            <w:r w:rsidR="001B6095" w:rsidRPr="00BB4913">
              <w:rPr>
                <w:rFonts w:eastAsia="Calibri" w:cstheme="minorHAnsi"/>
                <w:sz w:val="20"/>
                <w:szCs w:val="20"/>
              </w:rPr>
              <w:t>and</w:t>
            </w:r>
            <w:r w:rsidRPr="00BB4913">
              <w:rPr>
                <w:rFonts w:eastAsia="Calibri" w:cstheme="minorHAnsi"/>
                <w:sz w:val="20"/>
                <w:szCs w:val="20"/>
              </w:rPr>
              <w:t xml:space="preserve"> DBJ</w:t>
            </w:r>
          </w:p>
        </w:tc>
      </w:tr>
      <w:tr w:rsidR="007876A8" w:rsidRPr="00142369" w14:paraId="236C15A8" w14:textId="77777777" w:rsidTr="00BA5F1C">
        <w:tc>
          <w:tcPr>
            <w:tcW w:w="4935" w:type="dxa"/>
          </w:tcPr>
          <w:p w14:paraId="69CFE110" w14:textId="22758CB7" w:rsidR="007876A8" w:rsidRPr="00BB4913" w:rsidRDefault="007876A8">
            <w:pPr>
              <w:rPr>
                <w:rFonts w:eastAsia="Calibri" w:cstheme="minorHAnsi"/>
                <w:sz w:val="20"/>
                <w:szCs w:val="20"/>
              </w:rPr>
            </w:pPr>
            <w:r w:rsidRPr="00BB4913">
              <w:rPr>
                <w:rFonts w:eastAsia="Calibri" w:cstheme="minorHAnsi"/>
                <w:sz w:val="20"/>
                <w:szCs w:val="20"/>
              </w:rPr>
              <w:t xml:space="preserve">Applicable investment documents, which may include Limited Partnership </w:t>
            </w:r>
            <w:r w:rsidR="00CF6B78" w:rsidRPr="00BB4913">
              <w:rPr>
                <w:rFonts w:eastAsia="Calibri" w:cstheme="minorHAnsi"/>
                <w:sz w:val="20"/>
                <w:szCs w:val="20"/>
              </w:rPr>
              <w:t>A</w:t>
            </w:r>
            <w:r w:rsidRPr="00BB4913">
              <w:rPr>
                <w:rFonts w:eastAsia="Calibri" w:cstheme="minorHAnsi"/>
                <w:sz w:val="20"/>
                <w:szCs w:val="20"/>
              </w:rPr>
              <w:t xml:space="preserve">greement, </w:t>
            </w:r>
            <w:r w:rsidR="002C5619">
              <w:rPr>
                <w:rFonts w:eastAsia="Calibri" w:cstheme="minorHAnsi"/>
                <w:sz w:val="20"/>
                <w:szCs w:val="20"/>
              </w:rPr>
              <w:t xml:space="preserve">Shareholder Agreement, </w:t>
            </w:r>
            <w:r w:rsidRPr="00BB4913">
              <w:rPr>
                <w:rFonts w:eastAsia="Calibri" w:cstheme="minorHAnsi"/>
                <w:sz w:val="20"/>
                <w:szCs w:val="20"/>
              </w:rPr>
              <w:t xml:space="preserve">Subscription Agreement, Management </w:t>
            </w:r>
            <w:r w:rsidR="00CF6B78" w:rsidRPr="00BB4913">
              <w:rPr>
                <w:rFonts w:eastAsia="Calibri" w:cstheme="minorHAnsi"/>
                <w:sz w:val="20"/>
                <w:szCs w:val="20"/>
              </w:rPr>
              <w:t>A</w:t>
            </w:r>
            <w:r w:rsidRPr="00BB4913">
              <w:rPr>
                <w:rFonts w:eastAsia="Calibri" w:cstheme="minorHAnsi"/>
                <w:sz w:val="20"/>
                <w:szCs w:val="20"/>
              </w:rPr>
              <w:t>greement, Prospectus, or Side Letter</w:t>
            </w:r>
            <w:r w:rsidR="00BB20BA" w:rsidRPr="00BB4913">
              <w:rPr>
                <w:rFonts w:eastAsia="Calibri" w:cstheme="minorHAnsi"/>
                <w:sz w:val="20"/>
                <w:szCs w:val="20"/>
              </w:rPr>
              <w:t>(s)</w:t>
            </w:r>
          </w:p>
        </w:tc>
        <w:tc>
          <w:tcPr>
            <w:tcW w:w="4081" w:type="dxa"/>
          </w:tcPr>
          <w:p w14:paraId="66FA17B3" w14:textId="77777777" w:rsidR="007876A8" w:rsidRPr="00BB4913" w:rsidRDefault="007876A8">
            <w:pPr>
              <w:rPr>
                <w:rFonts w:eastAsia="Calibri" w:cstheme="minorHAnsi"/>
                <w:sz w:val="20"/>
                <w:szCs w:val="20"/>
              </w:rPr>
            </w:pPr>
            <w:r w:rsidRPr="00BB4913">
              <w:rPr>
                <w:rFonts w:eastAsia="Calibri" w:cstheme="minorHAnsi"/>
                <w:sz w:val="20"/>
                <w:szCs w:val="20"/>
              </w:rPr>
              <w:t>DBJ, SME Fund, SME Fund Management Firm, Co-Investors</w:t>
            </w:r>
          </w:p>
        </w:tc>
      </w:tr>
      <w:tr w:rsidR="007876A8" w:rsidRPr="00142369" w14:paraId="3042783F" w14:textId="77777777" w:rsidTr="00BA5F1C">
        <w:tc>
          <w:tcPr>
            <w:tcW w:w="4935" w:type="dxa"/>
          </w:tcPr>
          <w:p w14:paraId="04878987" w14:textId="39DC6700" w:rsidR="007876A8" w:rsidRPr="00BB4913" w:rsidRDefault="007876A8">
            <w:pPr>
              <w:jc w:val="both"/>
              <w:rPr>
                <w:rFonts w:eastAsia="Calibri" w:cstheme="minorHAnsi"/>
                <w:sz w:val="20"/>
                <w:szCs w:val="20"/>
              </w:rPr>
            </w:pPr>
            <w:bookmarkStart w:id="19" w:name="_Hlk27660405"/>
            <w:r w:rsidRPr="00BB4913">
              <w:rPr>
                <w:rFonts w:eastAsia="Calibri" w:cstheme="minorHAnsi"/>
                <w:sz w:val="20"/>
                <w:szCs w:val="20"/>
              </w:rPr>
              <w:t>Sub-Financing Agreements</w:t>
            </w:r>
            <w:bookmarkEnd w:id="19"/>
          </w:p>
        </w:tc>
        <w:tc>
          <w:tcPr>
            <w:tcW w:w="4081" w:type="dxa"/>
          </w:tcPr>
          <w:p w14:paraId="5EB3BC0F" w14:textId="77777777" w:rsidR="007876A8" w:rsidRPr="00BB4913" w:rsidRDefault="007876A8">
            <w:pPr>
              <w:jc w:val="both"/>
              <w:rPr>
                <w:rFonts w:eastAsia="Calibri" w:cstheme="minorHAnsi"/>
                <w:sz w:val="20"/>
                <w:szCs w:val="20"/>
              </w:rPr>
            </w:pPr>
            <w:r w:rsidRPr="00BB4913">
              <w:rPr>
                <w:rFonts w:eastAsia="Calibri" w:cstheme="minorHAnsi"/>
                <w:sz w:val="20"/>
                <w:szCs w:val="20"/>
              </w:rPr>
              <w:t>The SME Fund and Investees</w:t>
            </w:r>
          </w:p>
        </w:tc>
      </w:tr>
    </w:tbl>
    <w:p w14:paraId="3808189D" w14:textId="29A52218" w:rsidR="00C7117E" w:rsidRPr="00142369" w:rsidRDefault="00C7117E" w:rsidP="000C2D6C">
      <w:pPr>
        <w:spacing w:after="160"/>
        <w:ind w:left="720"/>
        <w:contextualSpacing/>
        <w:jc w:val="both"/>
        <w:rPr>
          <w:rFonts w:eastAsia="Calibri" w:cstheme="minorHAnsi"/>
          <w:sz w:val="20"/>
          <w:szCs w:val="20"/>
        </w:rPr>
      </w:pPr>
    </w:p>
    <w:p w14:paraId="4E416573" w14:textId="4694C7F5" w:rsidR="00C7117E" w:rsidRPr="00142369" w:rsidRDefault="000737F0" w:rsidP="000C2D6C">
      <w:pPr>
        <w:autoSpaceDE w:val="0"/>
        <w:autoSpaceDN w:val="0"/>
        <w:adjustRightInd w:val="0"/>
        <w:spacing w:after="0"/>
        <w:ind w:left="720"/>
        <w:rPr>
          <w:rFonts w:cstheme="minorHAnsi"/>
          <w:color w:val="000000"/>
          <w:sz w:val="20"/>
          <w:szCs w:val="20"/>
        </w:rPr>
      </w:pPr>
      <w:r w:rsidRPr="00142369">
        <w:rPr>
          <w:rFonts w:cstheme="minorHAnsi"/>
          <w:color w:val="000000"/>
          <w:sz w:val="20"/>
          <w:szCs w:val="20"/>
        </w:rPr>
        <w:t>Fund Managers submitting proposals/applications shall</w:t>
      </w:r>
      <w:bookmarkStart w:id="20" w:name="_Hlk30063485"/>
      <w:r w:rsidR="00C7117E" w:rsidRPr="00142369">
        <w:rPr>
          <w:rFonts w:cstheme="minorHAnsi"/>
          <w:color w:val="000000"/>
          <w:sz w:val="20"/>
          <w:szCs w:val="20"/>
        </w:rPr>
        <w:t xml:space="preserve"> present a </w:t>
      </w:r>
      <w:bookmarkStart w:id="21" w:name="_Hlk30064998"/>
      <w:r w:rsidR="00C7117E" w:rsidRPr="00142369">
        <w:rPr>
          <w:rFonts w:cstheme="minorHAnsi"/>
          <w:color w:val="000000"/>
          <w:sz w:val="20"/>
          <w:szCs w:val="20"/>
        </w:rPr>
        <w:t xml:space="preserve">signed acceptance at the time of bidding, to be incorporated in any resulting contracts, confirming application of, and compliance with, the </w:t>
      </w:r>
      <w:r w:rsidR="00395046">
        <w:rPr>
          <w:rFonts w:cstheme="minorHAnsi"/>
          <w:color w:val="000000"/>
          <w:sz w:val="20"/>
          <w:szCs w:val="20"/>
        </w:rPr>
        <w:t>DBJ’s</w:t>
      </w:r>
      <w:r w:rsidR="00817B79">
        <w:rPr>
          <w:rFonts w:cstheme="minorHAnsi"/>
          <w:color w:val="000000"/>
          <w:sz w:val="20"/>
          <w:szCs w:val="20"/>
        </w:rPr>
        <w:t xml:space="preserve"> AML </w:t>
      </w:r>
      <w:r w:rsidR="009B36AF">
        <w:rPr>
          <w:rFonts w:cstheme="minorHAnsi"/>
          <w:color w:val="000000"/>
          <w:sz w:val="20"/>
          <w:szCs w:val="20"/>
        </w:rPr>
        <w:t xml:space="preserve">and </w:t>
      </w:r>
      <w:r w:rsidR="009B36AF" w:rsidRPr="00142369">
        <w:rPr>
          <w:rFonts w:cstheme="minorHAnsi"/>
          <w:color w:val="000000"/>
          <w:sz w:val="20"/>
          <w:szCs w:val="20"/>
        </w:rPr>
        <w:t>Anti</w:t>
      </w:r>
      <w:r w:rsidR="00C7117E" w:rsidRPr="00142369">
        <w:rPr>
          <w:rFonts w:cstheme="minorHAnsi"/>
          <w:color w:val="000000"/>
          <w:sz w:val="20"/>
          <w:szCs w:val="20"/>
        </w:rPr>
        <w:t xml:space="preserve">-Corruption Guidelines, including without </w:t>
      </w:r>
      <w:r w:rsidR="00C7117E" w:rsidRPr="00D16CFA">
        <w:rPr>
          <w:rFonts w:cstheme="minorHAnsi"/>
          <w:color w:val="000000"/>
          <w:sz w:val="20"/>
          <w:szCs w:val="20"/>
        </w:rPr>
        <w:t>limitation the Bank’s right to sanction and the Bank’</w:t>
      </w:r>
      <w:r w:rsidR="00C7117E" w:rsidRPr="00D16CFA">
        <w:rPr>
          <w:rFonts w:cstheme="minorHAnsi"/>
          <w:strike/>
          <w:color w:val="000000"/>
          <w:sz w:val="20"/>
          <w:szCs w:val="20"/>
        </w:rPr>
        <w:t>s</w:t>
      </w:r>
      <w:r w:rsidR="00C7117E" w:rsidRPr="00D16CFA">
        <w:rPr>
          <w:rFonts w:cstheme="minorHAnsi"/>
          <w:color w:val="000000"/>
          <w:sz w:val="20"/>
          <w:szCs w:val="20"/>
        </w:rPr>
        <w:t xml:space="preserve"> inspection</w:t>
      </w:r>
      <w:r w:rsidR="007864D7" w:rsidRPr="00D16CFA">
        <w:rPr>
          <w:rFonts w:cstheme="minorHAnsi"/>
          <w:color w:val="000000"/>
          <w:sz w:val="20"/>
          <w:szCs w:val="20"/>
        </w:rPr>
        <w:t>,</w:t>
      </w:r>
      <w:r w:rsidR="00C7117E" w:rsidRPr="00D16CFA">
        <w:rPr>
          <w:rFonts w:cstheme="minorHAnsi"/>
          <w:color w:val="000000"/>
          <w:sz w:val="20"/>
          <w:szCs w:val="20"/>
        </w:rPr>
        <w:t xml:space="preserve"> audit rights</w:t>
      </w:r>
      <w:bookmarkEnd w:id="20"/>
      <w:r w:rsidR="007864D7" w:rsidRPr="00D16CFA">
        <w:rPr>
          <w:rFonts w:cstheme="minorHAnsi"/>
          <w:color w:val="000000"/>
          <w:sz w:val="20"/>
          <w:szCs w:val="20"/>
        </w:rPr>
        <w:t xml:space="preserve"> and</w:t>
      </w:r>
      <w:r w:rsidR="00C7117E" w:rsidRPr="00D16CFA">
        <w:rPr>
          <w:rFonts w:cstheme="minorHAnsi"/>
          <w:color w:val="000000"/>
          <w:sz w:val="20"/>
          <w:szCs w:val="20"/>
        </w:rPr>
        <w:t xml:space="preserve"> the rights for the Bank to review related documentation and activities.</w:t>
      </w:r>
    </w:p>
    <w:bookmarkEnd w:id="21"/>
    <w:p w14:paraId="189C5050" w14:textId="77777777" w:rsidR="00464D74" w:rsidRPr="00142369" w:rsidRDefault="00464D74" w:rsidP="000C2D6C">
      <w:pPr>
        <w:spacing w:after="160"/>
        <w:ind w:left="720"/>
        <w:contextualSpacing/>
        <w:jc w:val="both"/>
        <w:rPr>
          <w:rFonts w:eastAsia="Calibri" w:cstheme="minorHAnsi"/>
          <w:sz w:val="20"/>
          <w:szCs w:val="20"/>
        </w:rPr>
      </w:pPr>
    </w:p>
    <w:p w14:paraId="087EA9EF" w14:textId="77777777" w:rsidR="007876A8" w:rsidRPr="00142369" w:rsidRDefault="007876A8" w:rsidP="001B6095">
      <w:pPr>
        <w:spacing w:after="160"/>
        <w:ind w:left="720"/>
        <w:jc w:val="both"/>
        <w:rPr>
          <w:rFonts w:eastAsia="Calibri" w:cstheme="minorHAnsi"/>
          <w:sz w:val="20"/>
          <w:szCs w:val="20"/>
        </w:rPr>
      </w:pPr>
      <w:r w:rsidRPr="00142369">
        <w:rPr>
          <w:rFonts w:eastAsia="Calibri" w:cstheme="minorHAnsi"/>
          <w:sz w:val="20"/>
          <w:szCs w:val="20"/>
        </w:rPr>
        <w:t xml:space="preserve">Investment documents must clearly state requirements such as: </w:t>
      </w:r>
    </w:p>
    <w:p w14:paraId="7E49FE0D" w14:textId="50D815ED" w:rsidR="007876A8" w:rsidRPr="00142369" w:rsidRDefault="007876A8" w:rsidP="00625D6F">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 xml:space="preserve">The </w:t>
      </w:r>
      <w:r w:rsidR="002C5619">
        <w:rPr>
          <w:rFonts w:eastAsia="Calibri" w:cstheme="minorHAnsi"/>
          <w:sz w:val="20"/>
          <w:szCs w:val="20"/>
        </w:rPr>
        <w:t>DBJ</w:t>
      </w:r>
      <w:r w:rsidR="002C5619" w:rsidRPr="00142369">
        <w:rPr>
          <w:rFonts w:eastAsia="Calibri" w:cstheme="minorHAnsi"/>
          <w:sz w:val="20"/>
          <w:szCs w:val="20"/>
        </w:rPr>
        <w:t xml:space="preserve"> </w:t>
      </w:r>
      <w:r w:rsidRPr="00142369">
        <w:rPr>
          <w:rFonts w:eastAsia="Calibri" w:cstheme="minorHAnsi"/>
          <w:sz w:val="20"/>
          <w:szCs w:val="20"/>
        </w:rPr>
        <w:t xml:space="preserve">and the members of the Advisory Committee must receive quarterly </w:t>
      </w:r>
      <w:r w:rsidR="00BB20BA" w:rsidRPr="00142369">
        <w:rPr>
          <w:rFonts w:eastAsia="Calibri" w:cstheme="minorHAnsi"/>
          <w:sz w:val="20"/>
          <w:szCs w:val="20"/>
        </w:rPr>
        <w:t>Environmental &amp; Social (</w:t>
      </w:r>
      <w:r w:rsidRPr="00142369">
        <w:rPr>
          <w:rFonts w:eastAsia="Calibri" w:cstheme="minorHAnsi"/>
          <w:sz w:val="20"/>
          <w:szCs w:val="20"/>
        </w:rPr>
        <w:t>E&amp;S</w:t>
      </w:r>
      <w:r w:rsidR="00BB20BA" w:rsidRPr="00142369">
        <w:rPr>
          <w:rFonts w:eastAsia="Calibri" w:cstheme="minorHAnsi"/>
          <w:sz w:val="20"/>
          <w:szCs w:val="20"/>
        </w:rPr>
        <w:t>)</w:t>
      </w:r>
      <w:r w:rsidRPr="00142369">
        <w:rPr>
          <w:rFonts w:eastAsia="Calibri" w:cstheme="minorHAnsi"/>
          <w:sz w:val="20"/>
          <w:szCs w:val="20"/>
        </w:rPr>
        <w:t xml:space="preserve"> Performance Reports</w:t>
      </w:r>
      <w:r w:rsidR="00D615C7">
        <w:rPr>
          <w:rFonts w:eastAsia="Calibri" w:cstheme="minorHAnsi"/>
          <w:sz w:val="20"/>
          <w:szCs w:val="20"/>
        </w:rPr>
        <w:t>.</w:t>
      </w:r>
    </w:p>
    <w:p w14:paraId="77A43CD1" w14:textId="1A1A9E6D" w:rsidR="007876A8" w:rsidRPr="00142369" w:rsidRDefault="007876A8" w:rsidP="00625D6F">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 xml:space="preserve">Members of the Advisory Committee, or their representatives, must have the right to visit, with reasonable notice, any of the premises of </w:t>
      </w:r>
      <w:r w:rsidR="00895EEE" w:rsidRPr="00142369">
        <w:rPr>
          <w:rFonts w:eastAsia="Calibri" w:cstheme="minorHAnsi"/>
          <w:sz w:val="20"/>
          <w:szCs w:val="20"/>
        </w:rPr>
        <w:t>the Fund Manager</w:t>
      </w:r>
      <w:r w:rsidRPr="00142369">
        <w:rPr>
          <w:rFonts w:eastAsia="Calibri" w:cstheme="minorHAnsi"/>
          <w:sz w:val="20"/>
          <w:szCs w:val="20"/>
        </w:rPr>
        <w:t>, or have access to their management, records/ books, to monitor compliance or assess legal or reputational risk</w:t>
      </w:r>
      <w:r w:rsidR="00D615C7">
        <w:rPr>
          <w:rFonts w:eastAsia="Calibri" w:cstheme="minorHAnsi"/>
          <w:sz w:val="20"/>
          <w:szCs w:val="20"/>
        </w:rPr>
        <w:t>.</w:t>
      </w:r>
      <w:r w:rsidRPr="00142369">
        <w:rPr>
          <w:rFonts w:eastAsia="Calibri" w:cstheme="minorHAnsi"/>
          <w:sz w:val="20"/>
          <w:szCs w:val="20"/>
        </w:rPr>
        <w:t xml:space="preserve"> </w:t>
      </w:r>
    </w:p>
    <w:p w14:paraId="72BE271E" w14:textId="0CCE17D1" w:rsidR="007876A8" w:rsidRPr="001B6095" w:rsidRDefault="00A26281" w:rsidP="00625D6F">
      <w:pPr>
        <w:numPr>
          <w:ilvl w:val="0"/>
          <w:numId w:val="19"/>
        </w:numPr>
        <w:spacing w:after="160"/>
        <w:ind w:left="1440"/>
        <w:contextualSpacing/>
        <w:jc w:val="both"/>
        <w:rPr>
          <w:rFonts w:eastAsia="Calibri" w:cstheme="minorHAnsi"/>
          <w:sz w:val="20"/>
          <w:szCs w:val="20"/>
        </w:rPr>
      </w:pPr>
      <w:r w:rsidRPr="001B6095">
        <w:rPr>
          <w:rFonts w:eastAsia="Calibri" w:cstheme="minorHAnsi"/>
          <w:sz w:val="20"/>
          <w:szCs w:val="20"/>
        </w:rPr>
        <w:t xml:space="preserve">The </w:t>
      </w:r>
      <w:r w:rsidR="002C5619" w:rsidRPr="001B6095">
        <w:rPr>
          <w:rFonts w:eastAsia="Calibri" w:cstheme="minorHAnsi"/>
          <w:sz w:val="20"/>
          <w:szCs w:val="20"/>
        </w:rPr>
        <w:t>F</w:t>
      </w:r>
      <w:r w:rsidRPr="001B6095">
        <w:rPr>
          <w:rFonts w:eastAsia="Calibri" w:cstheme="minorHAnsi"/>
          <w:sz w:val="20"/>
          <w:szCs w:val="20"/>
        </w:rPr>
        <w:t xml:space="preserve">und </w:t>
      </w:r>
      <w:r w:rsidR="007876A8" w:rsidRPr="001B6095">
        <w:rPr>
          <w:rFonts w:eastAsia="Calibri" w:cstheme="minorHAnsi"/>
          <w:sz w:val="20"/>
          <w:szCs w:val="20"/>
        </w:rPr>
        <w:t>must be subject to regular independent audits</w:t>
      </w:r>
      <w:r w:rsidR="00D615C7" w:rsidRPr="001B6095">
        <w:rPr>
          <w:rFonts w:eastAsia="Calibri" w:cstheme="minorHAnsi"/>
          <w:sz w:val="20"/>
          <w:szCs w:val="20"/>
        </w:rPr>
        <w:t>.</w:t>
      </w:r>
    </w:p>
    <w:p w14:paraId="03EF9A38" w14:textId="0EE272F5" w:rsidR="007876A8" w:rsidRPr="001B6095" w:rsidRDefault="007876A8" w:rsidP="00625D6F">
      <w:pPr>
        <w:numPr>
          <w:ilvl w:val="0"/>
          <w:numId w:val="19"/>
        </w:numPr>
        <w:spacing w:after="160"/>
        <w:ind w:left="1440"/>
        <w:contextualSpacing/>
        <w:jc w:val="both"/>
        <w:rPr>
          <w:rFonts w:eastAsia="Calibri" w:cstheme="minorHAnsi"/>
          <w:sz w:val="20"/>
          <w:szCs w:val="20"/>
        </w:rPr>
      </w:pPr>
      <w:r w:rsidRPr="001B6095">
        <w:rPr>
          <w:rFonts w:eastAsia="Calibri" w:cstheme="minorHAnsi"/>
          <w:sz w:val="20"/>
          <w:szCs w:val="20"/>
        </w:rPr>
        <w:t xml:space="preserve">The Fund and its GP/Manager may not engage in any </w:t>
      </w:r>
      <w:bookmarkStart w:id="22" w:name="_Hlk29286957"/>
      <w:r w:rsidRPr="001B6095">
        <w:rPr>
          <w:rFonts w:eastAsia="Calibri" w:cstheme="minorHAnsi"/>
          <w:sz w:val="20"/>
          <w:szCs w:val="20"/>
        </w:rPr>
        <w:t xml:space="preserve">Sanctionable Practices </w:t>
      </w:r>
      <w:r w:rsidR="00E45725" w:rsidRPr="001B6095">
        <w:rPr>
          <w:rFonts w:eastAsia="Calibri" w:cstheme="minorHAnsi"/>
          <w:sz w:val="20"/>
          <w:szCs w:val="20"/>
        </w:rPr>
        <w:t>(as detailed in the Definitions on page</w:t>
      </w:r>
      <w:r w:rsidR="000331C0" w:rsidRPr="001B6095">
        <w:rPr>
          <w:rFonts w:eastAsia="Calibri" w:cstheme="minorHAnsi"/>
          <w:sz w:val="20"/>
          <w:szCs w:val="20"/>
        </w:rPr>
        <w:t xml:space="preserve"> </w:t>
      </w:r>
      <w:bookmarkEnd w:id="22"/>
      <w:r w:rsidR="00464D74" w:rsidRPr="001B6095">
        <w:rPr>
          <w:rFonts w:eastAsia="Calibri" w:cstheme="minorHAnsi"/>
          <w:sz w:val="20"/>
          <w:szCs w:val="20"/>
        </w:rPr>
        <w:t>1</w:t>
      </w:r>
      <w:r w:rsidR="009B36AF" w:rsidRPr="001B6095">
        <w:rPr>
          <w:rFonts w:eastAsia="Calibri" w:cstheme="minorHAnsi"/>
          <w:sz w:val="20"/>
          <w:szCs w:val="20"/>
        </w:rPr>
        <w:t>6</w:t>
      </w:r>
      <w:r w:rsidR="00464D74" w:rsidRPr="001B6095">
        <w:rPr>
          <w:rFonts w:eastAsia="Calibri" w:cstheme="minorHAnsi"/>
          <w:sz w:val="20"/>
          <w:szCs w:val="20"/>
        </w:rPr>
        <w:t>)</w:t>
      </w:r>
      <w:r w:rsidR="00D615C7" w:rsidRPr="001B6095">
        <w:rPr>
          <w:rFonts w:eastAsia="Calibri" w:cstheme="minorHAnsi"/>
          <w:sz w:val="20"/>
          <w:szCs w:val="20"/>
        </w:rPr>
        <w:t>.</w:t>
      </w:r>
    </w:p>
    <w:p w14:paraId="19FC149D" w14:textId="339BFF53" w:rsidR="007876A8" w:rsidRPr="00142369" w:rsidRDefault="007876A8" w:rsidP="00625D6F">
      <w:pPr>
        <w:numPr>
          <w:ilvl w:val="0"/>
          <w:numId w:val="19"/>
        </w:numPr>
        <w:spacing w:after="160"/>
        <w:ind w:left="1440"/>
        <w:contextualSpacing/>
        <w:jc w:val="both"/>
        <w:rPr>
          <w:rFonts w:eastAsia="Calibri" w:cstheme="minorHAnsi"/>
          <w:sz w:val="20"/>
          <w:szCs w:val="20"/>
        </w:rPr>
      </w:pPr>
      <w:r w:rsidRPr="001B6095">
        <w:rPr>
          <w:rFonts w:eastAsia="Calibri" w:cstheme="minorHAnsi"/>
          <w:sz w:val="20"/>
          <w:szCs w:val="20"/>
        </w:rPr>
        <w:t>Appropriate investor</w:t>
      </w:r>
      <w:r w:rsidRPr="00142369">
        <w:rPr>
          <w:rFonts w:eastAsia="Calibri" w:cstheme="minorHAnsi"/>
          <w:sz w:val="20"/>
          <w:szCs w:val="20"/>
        </w:rPr>
        <w:t xml:space="preserve"> protections must be included, including </w:t>
      </w:r>
      <w:r w:rsidR="008654AA" w:rsidRPr="00142369">
        <w:rPr>
          <w:rFonts w:eastAsia="Calibri" w:cstheme="minorHAnsi"/>
          <w:sz w:val="20"/>
          <w:szCs w:val="20"/>
        </w:rPr>
        <w:t>those covering the</w:t>
      </w:r>
      <w:r w:rsidRPr="00142369">
        <w:rPr>
          <w:rFonts w:eastAsia="Calibri" w:cstheme="minorHAnsi"/>
          <w:sz w:val="20"/>
          <w:szCs w:val="20"/>
        </w:rPr>
        <w:t xml:space="preserve"> G</w:t>
      </w:r>
      <w:r w:rsidR="00493956" w:rsidRPr="00142369">
        <w:rPr>
          <w:rFonts w:eastAsia="Calibri" w:cstheme="minorHAnsi"/>
          <w:sz w:val="20"/>
          <w:szCs w:val="20"/>
        </w:rPr>
        <w:t>O</w:t>
      </w:r>
      <w:r w:rsidRPr="00142369">
        <w:rPr>
          <w:rFonts w:eastAsia="Calibri" w:cstheme="minorHAnsi"/>
          <w:sz w:val="20"/>
          <w:szCs w:val="20"/>
        </w:rPr>
        <w:t>J’s participation in the Fund</w:t>
      </w:r>
      <w:r w:rsidR="00D615C7">
        <w:rPr>
          <w:rFonts w:eastAsia="Calibri" w:cstheme="minorHAnsi"/>
          <w:sz w:val="20"/>
          <w:szCs w:val="20"/>
        </w:rPr>
        <w:t>.</w:t>
      </w:r>
    </w:p>
    <w:p w14:paraId="76AF7C56" w14:textId="029EDC23" w:rsidR="007876A8" w:rsidRPr="00142369" w:rsidRDefault="000331C0" w:rsidP="00625D6F">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The GOJ maintains</w:t>
      </w:r>
      <w:r w:rsidR="00464D74" w:rsidRPr="00142369">
        <w:rPr>
          <w:rFonts w:eastAsia="Calibri" w:cstheme="minorHAnsi"/>
          <w:sz w:val="20"/>
          <w:szCs w:val="20"/>
        </w:rPr>
        <w:t xml:space="preserve"> the</w:t>
      </w:r>
      <w:r w:rsidRPr="00142369">
        <w:rPr>
          <w:rFonts w:eastAsia="Calibri" w:cstheme="minorHAnsi"/>
          <w:sz w:val="20"/>
          <w:szCs w:val="20"/>
        </w:rPr>
        <w:t xml:space="preserve"> r</w:t>
      </w:r>
      <w:r w:rsidR="007876A8" w:rsidRPr="00142369">
        <w:rPr>
          <w:rFonts w:eastAsia="Calibri" w:cstheme="minorHAnsi"/>
          <w:sz w:val="20"/>
          <w:szCs w:val="20"/>
        </w:rPr>
        <w:t>ight to terminate commitment or dissolve</w:t>
      </w:r>
      <w:r w:rsidR="00493956" w:rsidRPr="00142369">
        <w:rPr>
          <w:rFonts w:eastAsia="Calibri" w:cstheme="minorHAnsi"/>
          <w:sz w:val="20"/>
          <w:szCs w:val="20"/>
        </w:rPr>
        <w:t xml:space="preserve"> the</w:t>
      </w:r>
      <w:r w:rsidR="007876A8" w:rsidRPr="00142369">
        <w:rPr>
          <w:rFonts w:eastAsia="Calibri" w:cstheme="minorHAnsi"/>
          <w:sz w:val="20"/>
          <w:szCs w:val="20"/>
        </w:rPr>
        <w:t xml:space="preserve"> Fund if the Fund has been unable to make investments within a defined period</w:t>
      </w:r>
      <w:r w:rsidR="00BB4913">
        <w:rPr>
          <w:rFonts w:eastAsia="Calibri" w:cstheme="minorHAnsi"/>
          <w:sz w:val="20"/>
          <w:szCs w:val="20"/>
        </w:rPr>
        <w:t xml:space="preserve">, subject to the provisions in the shareholder or Limited </w:t>
      </w:r>
      <w:r w:rsidR="00D615C7">
        <w:rPr>
          <w:rFonts w:eastAsia="Calibri" w:cstheme="minorHAnsi"/>
          <w:sz w:val="20"/>
          <w:szCs w:val="20"/>
        </w:rPr>
        <w:t>Partnership</w:t>
      </w:r>
      <w:r w:rsidR="00BB4913">
        <w:rPr>
          <w:rFonts w:eastAsia="Calibri" w:cstheme="minorHAnsi"/>
          <w:sz w:val="20"/>
          <w:szCs w:val="20"/>
        </w:rPr>
        <w:t xml:space="preserve"> Agreements</w:t>
      </w:r>
      <w:r w:rsidR="00D615C7">
        <w:rPr>
          <w:rFonts w:eastAsia="Calibri" w:cstheme="minorHAnsi"/>
          <w:sz w:val="20"/>
          <w:szCs w:val="20"/>
        </w:rPr>
        <w:t>.</w:t>
      </w:r>
    </w:p>
    <w:p w14:paraId="24F46CFF" w14:textId="77777777" w:rsidR="008A5A0A" w:rsidRPr="00142369" w:rsidRDefault="008A5A0A" w:rsidP="001B6095">
      <w:pPr>
        <w:spacing w:after="160"/>
        <w:ind w:left="1440"/>
        <w:contextualSpacing/>
        <w:jc w:val="both"/>
        <w:rPr>
          <w:rFonts w:eastAsia="Calibri" w:cstheme="minorHAnsi"/>
          <w:sz w:val="20"/>
          <w:szCs w:val="20"/>
        </w:rPr>
      </w:pPr>
    </w:p>
    <w:p w14:paraId="4CC7D626" w14:textId="5A611FE4" w:rsidR="007876A8" w:rsidRPr="00142369" w:rsidRDefault="007876A8" w:rsidP="001B6095">
      <w:pPr>
        <w:spacing w:after="160"/>
        <w:ind w:left="720"/>
        <w:jc w:val="both"/>
        <w:rPr>
          <w:rFonts w:eastAsia="Calibri" w:cstheme="minorHAnsi"/>
          <w:sz w:val="20"/>
          <w:szCs w:val="20"/>
        </w:rPr>
      </w:pPr>
      <w:r w:rsidRPr="00142369">
        <w:rPr>
          <w:rFonts w:eastAsia="Calibri" w:cstheme="minorHAnsi"/>
          <w:sz w:val="20"/>
          <w:szCs w:val="20"/>
        </w:rPr>
        <w:t xml:space="preserve">Once the winning bid from the </w:t>
      </w:r>
      <w:r w:rsidR="00B64013" w:rsidRPr="00142369">
        <w:rPr>
          <w:rFonts w:eastAsia="Calibri" w:cstheme="minorHAnsi"/>
          <w:sz w:val="20"/>
          <w:szCs w:val="20"/>
        </w:rPr>
        <w:t>Call for Proposals process</w:t>
      </w:r>
      <w:r w:rsidRPr="00142369">
        <w:rPr>
          <w:rFonts w:eastAsia="Calibri" w:cstheme="minorHAnsi"/>
          <w:sz w:val="20"/>
          <w:szCs w:val="20"/>
        </w:rPr>
        <w:t xml:space="preserve"> has been awarded, DBJ will sign an agreement with the selected company, to </w:t>
      </w:r>
      <w:r w:rsidR="007D59E9" w:rsidRPr="00567CF7">
        <w:rPr>
          <w:rFonts w:eastAsia="Calibri" w:cstheme="minorHAnsi"/>
          <w:sz w:val="20"/>
          <w:szCs w:val="20"/>
        </w:rPr>
        <w:t xml:space="preserve">outline </w:t>
      </w:r>
      <w:r w:rsidRPr="00567CF7">
        <w:rPr>
          <w:rFonts w:eastAsia="Calibri" w:cstheme="minorHAnsi"/>
          <w:sz w:val="20"/>
          <w:szCs w:val="20"/>
        </w:rPr>
        <w:t xml:space="preserve">mutual roles and responsibilities, as well as terms and conditions of investments. </w:t>
      </w:r>
    </w:p>
    <w:p w14:paraId="296F50D7" w14:textId="0EC14C8D" w:rsidR="007876A8" w:rsidRDefault="007876A8" w:rsidP="001B6095">
      <w:pPr>
        <w:spacing w:after="240"/>
        <w:ind w:left="720"/>
        <w:jc w:val="both"/>
        <w:rPr>
          <w:rFonts w:eastAsia="Calibri" w:cstheme="minorHAnsi"/>
          <w:sz w:val="20"/>
          <w:szCs w:val="20"/>
        </w:rPr>
      </w:pPr>
      <w:r w:rsidRPr="00142369">
        <w:rPr>
          <w:rFonts w:eastAsia="Calibri" w:cstheme="minorHAnsi"/>
          <w:sz w:val="20"/>
          <w:szCs w:val="20"/>
        </w:rPr>
        <w:t xml:space="preserve">The Limited Partnership Agreement (or equivalent, such as LLC </w:t>
      </w:r>
      <w:r w:rsidR="00BB4913">
        <w:rPr>
          <w:rFonts w:eastAsia="Calibri" w:cstheme="minorHAnsi"/>
          <w:sz w:val="20"/>
          <w:szCs w:val="20"/>
        </w:rPr>
        <w:t>or Shareholders Agreement</w:t>
      </w:r>
      <w:r w:rsidRPr="00142369">
        <w:rPr>
          <w:rFonts w:eastAsia="Calibri" w:cstheme="minorHAnsi"/>
          <w:sz w:val="20"/>
          <w:szCs w:val="20"/>
        </w:rPr>
        <w:t>) will outline the strategic objectives of the SME Fund, and key operational aspects of the SME Fund, such as defining the role of the manager versus the other investing partners; the governance structure (including an Investment Committee and Advisory Committee); the management fees structure; return distribution; reporting requirements/ performance evaluation</w:t>
      </w:r>
      <w:r w:rsidR="00A26281" w:rsidRPr="00142369">
        <w:rPr>
          <w:rFonts w:eastAsia="Calibri" w:cstheme="minorHAnsi"/>
          <w:sz w:val="20"/>
          <w:szCs w:val="20"/>
        </w:rPr>
        <w:t>,</w:t>
      </w:r>
      <w:r w:rsidRPr="00142369">
        <w:rPr>
          <w:rFonts w:eastAsia="Calibri" w:cstheme="minorHAnsi"/>
          <w:sz w:val="20"/>
          <w:szCs w:val="20"/>
        </w:rPr>
        <w:t xml:space="preserve"> etc. These agreements will be informed by best practices and legal counsel of DBJ (to ensure proper investor protection mechanisms).</w:t>
      </w:r>
    </w:p>
    <w:p w14:paraId="28A2733F" w14:textId="4110EE11" w:rsidR="00351575" w:rsidRDefault="00351575">
      <w:pPr>
        <w:spacing w:after="240"/>
        <w:ind w:left="720"/>
        <w:jc w:val="both"/>
        <w:rPr>
          <w:rFonts w:eastAsia="Calibri" w:cstheme="minorHAnsi"/>
          <w:sz w:val="20"/>
          <w:szCs w:val="20"/>
        </w:rPr>
      </w:pPr>
    </w:p>
    <w:p w14:paraId="4189D040" w14:textId="77777777" w:rsidR="00351575" w:rsidRPr="00142369" w:rsidRDefault="00351575">
      <w:pPr>
        <w:spacing w:after="240"/>
        <w:ind w:left="720"/>
        <w:jc w:val="both"/>
        <w:rPr>
          <w:rFonts w:eastAsia="Calibri" w:cstheme="minorHAnsi"/>
          <w:sz w:val="20"/>
          <w:szCs w:val="20"/>
        </w:rPr>
      </w:pPr>
    </w:p>
    <w:p w14:paraId="2E7D0433" w14:textId="77777777" w:rsidR="007876A8" w:rsidRPr="00142369" w:rsidRDefault="007876A8" w:rsidP="00625D6F">
      <w:pPr>
        <w:numPr>
          <w:ilvl w:val="0"/>
          <w:numId w:val="17"/>
        </w:numPr>
        <w:spacing w:after="240"/>
        <w:ind w:left="1440"/>
        <w:jc w:val="both"/>
        <w:rPr>
          <w:rFonts w:eastAsia="Calibri" w:cstheme="minorHAnsi"/>
          <w:b/>
          <w:sz w:val="20"/>
          <w:szCs w:val="20"/>
        </w:rPr>
      </w:pPr>
      <w:r w:rsidRPr="00142369">
        <w:rPr>
          <w:rFonts w:eastAsia="Calibri" w:cstheme="minorHAnsi"/>
          <w:b/>
          <w:sz w:val="20"/>
          <w:szCs w:val="20"/>
        </w:rPr>
        <w:lastRenderedPageBreak/>
        <w:t>Role of the SME Fund Management Firm</w:t>
      </w:r>
    </w:p>
    <w:p w14:paraId="0D16E5EF" w14:textId="3E982CFD" w:rsidR="007876A8" w:rsidRDefault="007876A8">
      <w:pPr>
        <w:spacing w:after="240"/>
        <w:ind w:left="720"/>
        <w:jc w:val="both"/>
        <w:rPr>
          <w:rFonts w:eastAsia="Calibri" w:cstheme="minorHAnsi"/>
          <w:sz w:val="20"/>
          <w:szCs w:val="20"/>
        </w:rPr>
      </w:pPr>
      <w:r w:rsidRPr="00142369">
        <w:rPr>
          <w:rFonts w:eastAsia="Calibri" w:cstheme="minorHAnsi"/>
          <w:sz w:val="20"/>
          <w:szCs w:val="20"/>
        </w:rPr>
        <w:t xml:space="preserve">The SME Fund Management Firm will be solely and exclusively responsible for </w:t>
      </w:r>
      <w:r w:rsidR="00A26281" w:rsidRPr="00142369">
        <w:rPr>
          <w:rFonts w:eastAsia="Calibri" w:cstheme="minorHAnsi"/>
          <w:sz w:val="20"/>
          <w:szCs w:val="20"/>
        </w:rPr>
        <w:t xml:space="preserve">the </w:t>
      </w:r>
      <w:r w:rsidRPr="00142369">
        <w:rPr>
          <w:rFonts w:eastAsia="Calibri" w:cstheme="minorHAnsi"/>
          <w:sz w:val="20"/>
          <w:szCs w:val="20"/>
        </w:rPr>
        <w:t>investment and exit decisions. The SME Fund Management Firm will be responsible for: (</w:t>
      </w:r>
      <w:proofErr w:type="spellStart"/>
      <w:r w:rsidRPr="00142369">
        <w:rPr>
          <w:rFonts w:eastAsia="Calibri" w:cstheme="minorHAnsi"/>
          <w:sz w:val="20"/>
          <w:szCs w:val="20"/>
        </w:rPr>
        <w:t>i</w:t>
      </w:r>
      <w:proofErr w:type="spellEnd"/>
      <w:r w:rsidRPr="00142369">
        <w:rPr>
          <w:rFonts w:eastAsia="Calibri" w:cstheme="minorHAnsi"/>
          <w:sz w:val="20"/>
          <w:szCs w:val="20"/>
        </w:rPr>
        <w:t xml:space="preserve">) actively seeking deals; (ii) fundraising; (iii) presenting deals to the investment committee; (iv) monitoring performance of approved investments; (v) reporting; and (iv) supporting portfolio companies. </w:t>
      </w:r>
    </w:p>
    <w:p w14:paraId="6F02BF72" w14:textId="2390B133" w:rsidR="002E590C" w:rsidRPr="00567CF7" w:rsidRDefault="002E590C">
      <w:pPr>
        <w:spacing w:after="240"/>
        <w:ind w:left="720"/>
        <w:jc w:val="both"/>
        <w:rPr>
          <w:rFonts w:ascii="Calibri" w:hAnsi="Calibri" w:cs="Calibri"/>
          <w:color w:val="201F1E"/>
          <w:sz w:val="20"/>
          <w:szCs w:val="20"/>
          <w:shd w:val="clear" w:color="auto" w:fill="FFFFFF"/>
        </w:rPr>
      </w:pPr>
      <w:r w:rsidRPr="006451B6">
        <w:rPr>
          <w:rFonts w:ascii="Calibri" w:hAnsi="Calibri" w:cs="Calibri"/>
          <w:color w:val="201F1E"/>
          <w:sz w:val="20"/>
          <w:szCs w:val="20"/>
          <w:shd w:val="clear" w:color="auto" w:fill="FFFFFF"/>
        </w:rPr>
        <w:t xml:space="preserve">The SME Fund Management </w:t>
      </w:r>
      <w:r w:rsidR="00220AC3">
        <w:rPr>
          <w:rFonts w:ascii="Calibri" w:hAnsi="Calibri" w:cs="Calibri"/>
          <w:color w:val="201F1E"/>
          <w:sz w:val="20"/>
          <w:szCs w:val="20"/>
          <w:shd w:val="clear" w:color="auto" w:fill="FFFFFF"/>
        </w:rPr>
        <w:t>F</w:t>
      </w:r>
      <w:r w:rsidRPr="006451B6">
        <w:rPr>
          <w:rFonts w:ascii="Calibri" w:hAnsi="Calibri" w:cs="Calibri"/>
          <w:color w:val="201F1E"/>
          <w:sz w:val="20"/>
          <w:szCs w:val="20"/>
          <w:shd w:val="clear" w:color="auto" w:fill="FFFFFF"/>
        </w:rPr>
        <w:t>irm must be able to both (</w:t>
      </w:r>
      <w:proofErr w:type="spellStart"/>
      <w:r w:rsidRPr="006451B6">
        <w:rPr>
          <w:rFonts w:ascii="Calibri" w:hAnsi="Calibri" w:cs="Calibri"/>
          <w:color w:val="201F1E"/>
          <w:sz w:val="20"/>
          <w:szCs w:val="20"/>
          <w:shd w:val="clear" w:color="auto" w:fill="FFFFFF"/>
        </w:rPr>
        <w:t>i</w:t>
      </w:r>
      <w:proofErr w:type="spellEnd"/>
      <w:r w:rsidRPr="006451B6">
        <w:rPr>
          <w:rFonts w:ascii="Calibri" w:hAnsi="Calibri" w:cs="Calibri"/>
          <w:color w:val="201F1E"/>
          <w:sz w:val="20"/>
          <w:szCs w:val="20"/>
          <w:shd w:val="clear" w:color="auto" w:fill="FFFFFF"/>
        </w:rPr>
        <w:t xml:space="preserve">) </w:t>
      </w:r>
      <w:r w:rsidR="007221DB" w:rsidRPr="006451B6">
        <w:rPr>
          <w:rFonts w:ascii="Calibri" w:hAnsi="Calibri" w:cs="Calibri"/>
          <w:color w:val="201F1E"/>
          <w:sz w:val="20"/>
          <w:szCs w:val="20"/>
          <w:shd w:val="clear" w:color="auto" w:fill="FFFFFF"/>
        </w:rPr>
        <w:t xml:space="preserve">raise capital from other sources which must be </w:t>
      </w:r>
      <w:r w:rsidR="00C94A2A">
        <w:rPr>
          <w:rFonts w:ascii="Calibri" w:hAnsi="Calibri" w:cs="Calibri"/>
          <w:color w:val="201F1E"/>
          <w:sz w:val="20"/>
          <w:szCs w:val="20"/>
          <w:shd w:val="clear" w:color="auto" w:fill="FFFFFF"/>
        </w:rPr>
        <w:t xml:space="preserve">at least </w:t>
      </w:r>
      <w:r w:rsidR="00220AC3" w:rsidRPr="006451B6">
        <w:rPr>
          <w:rFonts w:ascii="Calibri" w:hAnsi="Calibri" w:cs="Calibri"/>
          <w:color w:val="201F1E"/>
          <w:sz w:val="20"/>
          <w:szCs w:val="20"/>
          <w:shd w:val="clear" w:color="auto" w:fill="FFFFFF"/>
        </w:rPr>
        <w:t>twice that of</w:t>
      </w:r>
      <w:r w:rsidR="007221DB" w:rsidRPr="006451B6">
        <w:rPr>
          <w:rFonts w:ascii="Calibri" w:hAnsi="Calibri" w:cs="Calibri"/>
          <w:color w:val="201F1E"/>
          <w:sz w:val="20"/>
          <w:szCs w:val="20"/>
          <w:shd w:val="clear" w:color="auto" w:fill="FFFFFF"/>
        </w:rPr>
        <w:t xml:space="preserve"> DBJ’s capital </w:t>
      </w:r>
      <w:r w:rsidRPr="006451B6">
        <w:rPr>
          <w:rFonts w:ascii="Calibri" w:hAnsi="Calibri" w:cs="Calibri"/>
          <w:color w:val="201F1E"/>
          <w:sz w:val="20"/>
          <w:szCs w:val="20"/>
          <w:shd w:val="clear" w:color="auto" w:fill="FFFFFF"/>
        </w:rPr>
        <w:t xml:space="preserve">and (ii) set up a fund with minimum viable economic size (typically </w:t>
      </w:r>
      <w:r w:rsidR="00CC1B62" w:rsidRPr="00567CF7">
        <w:rPr>
          <w:rFonts w:ascii="Calibri" w:hAnsi="Calibri" w:cs="Calibri"/>
          <w:color w:val="201F1E"/>
          <w:sz w:val="20"/>
          <w:szCs w:val="20"/>
          <w:shd w:val="clear" w:color="auto" w:fill="FFFFFF"/>
        </w:rPr>
        <w:t xml:space="preserve">a minimum of </w:t>
      </w:r>
      <w:r w:rsidRPr="00567CF7">
        <w:rPr>
          <w:rFonts w:ascii="Calibri" w:hAnsi="Calibri" w:cs="Calibri"/>
          <w:color w:val="201F1E"/>
          <w:sz w:val="20"/>
          <w:szCs w:val="20"/>
          <w:shd w:val="clear" w:color="auto" w:fill="FFFFFF"/>
        </w:rPr>
        <w:t>US$15 million for an SME Fund). This applies to new and existing funds. For existing funds, matching will be proportionate to DBJ’s capital allocation in the fund.</w:t>
      </w:r>
    </w:p>
    <w:p w14:paraId="427FA74A" w14:textId="3F98AB5A" w:rsidR="007876A8" w:rsidRDefault="007876A8">
      <w:pPr>
        <w:spacing w:after="240"/>
        <w:ind w:left="720"/>
        <w:jc w:val="both"/>
        <w:rPr>
          <w:rFonts w:eastAsia="Calibri" w:cstheme="minorHAnsi"/>
          <w:sz w:val="20"/>
          <w:szCs w:val="20"/>
        </w:rPr>
      </w:pPr>
      <w:r w:rsidRPr="00567CF7">
        <w:rPr>
          <w:rFonts w:eastAsia="Calibri" w:cstheme="minorHAnsi"/>
          <w:sz w:val="20"/>
          <w:szCs w:val="20"/>
        </w:rPr>
        <w:t xml:space="preserve">The SME Fund Management Firm must be willing to comply with </w:t>
      </w:r>
      <w:r w:rsidR="00567CF7" w:rsidRPr="00567CF7">
        <w:rPr>
          <w:rFonts w:eastAsia="Calibri" w:cstheme="minorHAnsi"/>
          <w:sz w:val="20"/>
          <w:szCs w:val="20"/>
        </w:rPr>
        <w:t>DBJ reporting</w:t>
      </w:r>
      <w:r w:rsidRPr="00567CF7">
        <w:rPr>
          <w:rFonts w:eastAsia="Calibri" w:cstheme="minorHAnsi"/>
          <w:sz w:val="20"/>
          <w:szCs w:val="20"/>
        </w:rPr>
        <w:t xml:space="preserve"> and monitoring and evaluation requirements of investments, as described in the </w:t>
      </w:r>
      <w:r w:rsidR="000C420B" w:rsidRPr="00567CF7">
        <w:rPr>
          <w:rFonts w:eastAsia="Calibri" w:cstheme="minorHAnsi"/>
          <w:sz w:val="20"/>
          <w:szCs w:val="20"/>
        </w:rPr>
        <w:t>CFP</w:t>
      </w:r>
      <w:r w:rsidRPr="00567CF7">
        <w:rPr>
          <w:rFonts w:eastAsia="Calibri" w:cstheme="minorHAnsi"/>
          <w:sz w:val="20"/>
          <w:szCs w:val="20"/>
        </w:rPr>
        <w:t xml:space="preserve"> criteria, applicable investment</w:t>
      </w:r>
      <w:r w:rsidR="00693624" w:rsidRPr="00567CF7">
        <w:rPr>
          <w:rFonts w:eastAsia="Calibri" w:cstheme="minorHAnsi"/>
          <w:sz w:val="20"/>
          <w:szCs w:val="20"/>
        </w:rPr>
        <w:t xml:space="preserve"> documents, </w:t>
      </w:r>
      <w:r w:rsidRPr="00567CF7">
        <w:rPr>
          <w:rFonts w:eastAsia="Calibri" w:cstheme="minorHAnsi"/>
          <w:sz w:val="20"/>
          <w:szCs w:val="20"/>
        </w:rPr>
        <w:t xml:space="preserve">safeguards guidelines as described in the </w:t>
      </w:r>
      <w:r w:rsidR="00F470F6" w:rsidRPr="00567CF7">
        <w:rPr>
          <w:rFonts w:eastAsia="Calibri" w:cstheme="minorHAnsi"/>
          <w:sz w:val="20"/>
          <w:szCs w:val="20"/>
        </w:rPr>
        <w:t>Environmental and Social Safeguards Policy</w:t>
      </w:r>
      <w:r w:rsidR="000C420B" w:rsidRPr="00567CF7">
        <w:rPr>
          <w:rFonts w:eastAsia="Calibri" w:cstheme="minorHAnsi"/>
          <w:sz w:val="20"/>
          <w:szCs w:val="20"/>
        </w:rPr>
        <w:t xml:space="preserve">, Audit and Anti-Fraud/Corruption Clauses, as well as </w:t>
      </w:r>
      <w:r w:rsidR="00493956" w:rsidRPr="00567CF7">
        <w:rPr>
          <w:rFonts w:eastAsia="Calibri" w:cstheme="minorHAnsi"/>
          <w:sz w:val="20"/>
          <w:szCs w:val="20"/>
        </w:rPr>
        <w:t xml:space="preserve">the </w:t>
      </w:r>
      <w:r w:rsidR="001B6095" w:rsidRPr="00567CF7">
        <w:rPr>
          <w:rFonts w:eastAsia="Calibri" w:cstheme="minorHAnsi"/>
          <w:sz w:val="20"/>
          <w:szCs w:val="20"/>
        </w:rPr>
        <w:t>DBJ’s provisions</w:t>
      </w:r>
      <w:r w:rsidR="000C420B" w:rsidRPr="00567CF7">
        <w:rPr>
          <w:rFonts w:eastAsia="Calibri" w:cstheme="minorHAnsi"/>
          <w:sz w:val="20"/>
          <w:szCs w:val="20"/>
        </w:rPr>
        <w:t xml:space="preserve"> on Conflict of Interest</w:t>
      </w:r>
      <w:r w:rsidRPr="00567CF7">
        <w:rPr>
          <w:rFonts w:eastAsia="Calibri" w:cstheme="minorHAnsi"/>
          <w:sz w:val="20"/>
          <w:szCs w:val="20"/>
        </w:rPr>
        <w:t>.</w:t>
      </w:r>
    </w:p>
    <w:p w14:paraId="5D926BEC" w14:textId="40F7B92C" w:rsidR="00022759" w:rsidRDefault="00022759">
      <w:pPr>
        <w:spacing w:after="240"/>
        <w:ind w:left="720"/>
        <w:jc w:val="both"/>
        <w:rPr>
          <w:rFonts w:eastAsia="Calibri" w:cstheme="minorHAnsi"/>
          <w:sz w:val="20"/>
          <w:szCs w:val="20"/>
          <w:lang w:val="en-JM"/>
        </w:rPr>
      </w:pPr>
      <w:r>
        <w:rPr>
          <w:rFonts w:eastAsia="Calibri" w:cstheme="minorHAnsi"/>
          <w:sz w:val="20"/>
          <w:szCs w:val="20"/>
        </w:rPr>
        <w:t>If the SME Fund is already existing and</w:t>
      </w:r>
      <w:r w:rsidRPr="00022759">
        <w:rPr>
          <w:rFonts w:eastAsia="Calibri" w:cstheme="minorHAnsi"/>
          <w:sz w:val="20"/>
          <w:szCs w:val="20"/>
          <w:lang w:val="en-JM"/>
        </w:rPr>
        <w:t xml:space="preserve"> has a broader investment strategy, </w:t>
      </w:r>
      <w:r>
        <w:rPr>
          <w:rFonts w:eastAsia="Calibri" w:cstheme="minorHAnsi"/>
          <w:sz w:val="20"/>
          <w:szCs w:val="20"/>
          <w:lang w:val="en-JM"/>
        </w:rPr>
        <w:t>it</w:t>
      </w:r>
      <w:r w:rsidRPr="00022759">
        <w:rPr>
          <w:rFonts w:eastAsia="Calibri" w:cstheme="minorHAnsi"/>
          <w:sz w:val="20"/>
          <w:szCs w:val="20"/>
          <w:lang w:val="en-JM"/>
        </w:rPr>
        <w:t xml:space="preserve"> must</w:t>
      </w:r>
      <w:r w:rsidR="00701A9B">
        <w:rPr>
          <w:rFonts w:eastAsia="Calibri" w:cstheme="minorHAnsi"/>
          <w:sz w:val="20"/>
          <w:szCs w:val="20"/>
          <w:lang w:val="en-JM"/>
        </w:rPr>
        <w:t xml:space="preserve"> be in conformity with required policies (</w:t>
      </w:r>
      <w:r w:rsidR="007D59E9">
        <w:rPr>
          <w:rFonts w:eastAsia="Calibri" w:cstheme="minorHAnsi"/>
          <w:sz w:val="20"/>
          <w:szCs w:val="20"/>
          <w:lang w:val="en-JM"/>
        </w:rPr>
        <w:t>e.g.,</w:t>
      </w:r>
      <w:r w:rsidR="00701A9B">
        <w:rPr>
          <w:rFonts w:eastAsia="Calibri" w:cstheme="minorHAnsi"/>
          <w:sz w:val="20"/>
          <w:szCs w:val="20"/>
          <w:lang w:val="en-JM"/>
        </w:rPr>
        <w:t xml:space="preserve"> ESG.) and </w:t>
      </w:r>
      <w:r w:rsidRPr="00022759">
        <w:rPr>
          <w:rFonts w:eastAsia="Calibri" w:cstheme="minorHAnsi"/>
          <w:sz w:val="20"/>
          <w:szCs w:val="20"/>
          <w:lang w:val="en-JM"/>
        </w:rPr>
        <w:t>provide segregated reporting for the DBJ</w:t>
      </w:r>
      <w:r>
        <w:rPr>
          <w:rFonts w:eastAsia="Calibri" w:cstheme="minorHAnsi"/>
          <w:sz w:val="20"/>
          <w:szCs w:val="20"/>
          <w:lang w:val="en-JM"/>
        </w:rPr>
        <w:t xml:space="preserve"> in line with the </w:t>
      </w:r>
      <w:r w:rsidRPr="00022759">
        <w:rPr>
          <w:rFonts w:eastAsia="Calibri" w:cstheme="minorHAnsi"/>
          <w:sz w:val="20"/>
          <w:szCs w:val="20"/>
          <w:lang w:val="en-JM"/>
        </w:rPr>
        <w:t>project</w:t>
      </w:r>
      <w:r>
        <w:rPr>
          <w:rFonts w:eastAsia="Calibri" w:cstheme="minorHAnsi"/>
          <w:sz w:val="20"/>
          <w:szCs w:val="20"/>
          <w:lang w:val="en-JM"/>
        </w:rPr>
        <w:t>’s</w:t>
      </w:r>
      <w:r w:rsidRPr="00022759">
        <w:rPr>
          <w:rFonts w:eastAsia="Calibri" w:cstheme="minorHAnsi"/>
          <w:sz w:val="20"/>
          <w:szCs w:val="20"/>
          <w:lang w:val="en-JM"/>
        </w:rPr>
        <w:t xml:space="preserve"> </w:t>
      </w:r>
      <w:r w:rsidR="00E85320" w:rsidRPr="00022759">
        <w:rPr>
          <w:rFonts w:eastAsia="Calibri" w:cstheme="minorHAnsi"/>
          <w:sz w:val="20"/>
          <w:szCs w:val="20"/>
          <w:lang w:val="en-JM"/>
        </w:rPr>
        <w:t>objective</w:t>
      </w:r>
      <w:r w:rsidR="00701A9B">
        <w:rPr>
          <w:rFonts w:eastAsia="Calibri" w:cstheme="minorHAnsi"/>
          <w:sz w:val="20"/>
          <w:szCs w:val="20"/>
          <w:lang w:val="en-JM"/>
        </w:rPr>
        <w:t>.</w:t>
      </w:r>
      <w:r w:rsidR="00730A2C">
        <w:rPr>
          <w:rFonts w:eastAsia="Calibri" w:cstheme="minorHAnsi"/>
          <w:sz w:val="20"/>
          <w:szCs w:val="20"/>
          <w:lang w:val="en-JM"/>
        </w:rPr>
        <w:t xml:space="preserve"> </w:t>
      </w:r>
      <w:r w:rsidR="00E85320">
        <w:rPr>
          <w:rFonts w:eastAsia="Calibri" w:cstheme="minorHAnsi"/>
          <w:sz w:val="20"/>
          <w:szCs w:val="20"/>
          <w:lang w:val="en-JM"/>
        </w:rPr>
        <w:t xml:space="preserve">The SME Fund Management Firm if </w:t>
      </w:r>
      <w:r w:rsidR="00E85320" w:rsidRPr="00E85320">
        <w:rPr>
          <w:rFonts w:eastAsia="Calibri" w:cstheme="minorHAnsi"/>
          <w:sz w:val="20"/>
          <w:szCs w:val="20"/>
          <w:lang w:val="en-JM"/>
        </w:rPr>
        <w:t xml:space="preserve">affiliated to an institution with a broader mandate, must show how the governance of the fund would have clear accountability to </w:t>
      </w:r>
      <w:r w:rsidR="00C94A2A">
        <w:rPr>
          <w:rFonts w:eastAsia="Calibri" w:cstheme="minorHAnsi"/>
          <w:sz w:val="20"/>
          <w:szCs w:val="20"/>
          <w:lang w:val="en-JM"/>
        </w:rPr>
        <w:t>shareholders</w:t>
      </w:r>
      <w:r w:rsidR="00E85320" w:rsidRPr="00E85320">
        <w:rPr>
          <w:rFonts w:eastAsia="Calibri" w:cstheme="minorHAnsi"/>
          <w:sz w:val="20"/>
          <w:szCs w:val="20"/>
          <w:lang w:val="en-JM"/>
        </w:rPr>
        <w:t>, rather than to the parent company</w:t>
      </w:r>
      <w:r w:rsidR="00E85320">
        <w:rPr>
          <w:rFonts w:eastAsia="Calibri" w:cstheme="minorHAnsi"/>
          <w:sz w:val="20"/>
          <w:szCs w:val="20"/>
          <w:lang w:val="en-JM"/>
        </w:rPr>
        <w:t>.</w:t>
      </w:r>
    </w:p>
    <w:p w14:paraId="261E3134" w14:textId="15F8A16E" w:rsidR="00BA5F1C" w:rsidRPr="00142369" w:rsidRDefault="007876A8">
      <w:pPr>
        <w:spacing w:after="240"/>
        <w:ind w:left="720"/>
        <w:jc w:val="both"/>
        <w:rPr>
          <w:rFonts w:eastAsia="Calibri" w:cstheme="minorHAnsi"/>
          <w:sz w:val="20"/>
          <w:szCs w:val="20"/>
        </w:rPr>
      </w:pPr>
      <w:r w:rsidRPr="00142369">
        <w:rPr>
          <w:rFonts w:eastAsia="Calibri" w:cstheme="minorHAnsi"/>
          <w:b/>
          <w:sz w:val="20"/>
          <w:szCs w:val="20"/>
        </w:rPr>
        <w:t>The government and other investors will not have any influence on the investments and exit decisions</w:t>
      </w:r>
      <w:r w:rsidR="001B6095" w:rsidRPr="00142369">
        <w:rPr>
          <w:rFonts w:eastAsia="Calibri" w:cstheme="minorHAnsi"/>
          <w:b/>
          <w:sz w:val="20"/>
          <w:szCs w:val="20"/>
        </w:rPr>
        <w:t xml:space="preserve">. </w:t>
      </w:r>
    </w:p>
    <w:p w14:paraId="7D2BFB8E" w14:textId="77777777" w:rsidR="007876A8" w:rsidRPr="00142369" w:rsidRDefault="007876A8" w:rsidP="00625D6F">
      <w:pPr>
        <w:numPr>
          <w:ilvl w:val="0"/>
          <w:numId w:val="17"/>
        </w:numPr>
        <w:spacing w:after="240"/>
        <w:ind w:left="1440"/>
        <w:jc w:val="both"/>
        <w:rPr>
          <w:rFonts w:eastAsia="Calibri" w:cstheme="minorHAnsi"/>
          <w:b/>
          <w:sz w:val="20"/>
          <w:szCs w:val="20"/>
        </w:rPr>
      </w:pPr>
      <w:r w:rsidRPr="00142369">
        <w:rPr>
          <w:rFonts w:eastAsia="Calibri" w:cstheme="minorHAnsi"/>
          <w:b/>
          <w:sz w:val="20"/>
          <w:szCs w:val="20"/>
        </w:rPr>
        <w:t>Role of DBJ</w:t>
      </w:r>
    </w:p>
    <w:p w14:paraId="1B5E79CA" w14:textId="09211D0C" w:rsidR="007876A8" w:rsidRPr="00142369" w:rsidRDefault="007876A8" w:rsidP="000C2D6C">
      <w:pPr>
        <w:spacing w:after="160"/>
        <w:ind w:left="720"/>
        <w:jc w:val="both"/>
        <w:rPr>
          <w:rFonts w:eastAsia="Calibri" w:cstheme="minorHAnsi"/>
          <w:sz w:val="20"/>
          <w:szCs w:val="20"/>
        </w:rPr>
      </w:pPr>
      <w:r w:rsidRPr="00142369">
        <w:rPr>
          <w:rFonts w:eastAsia="Calibri" w:cstheme="minorHAnsi"/>
          <w:bCs/>
          <w:sz w:val="20"/>
          <w:szCs w:val="20"/>
        </w:rPr>
        <w:t xml:space="preserve">Among other responsibilities, DBJ will </w:t>
      </w:r>
      <w:proofErr w:type="gramStart"/>
      <w:r w:rsidRPr="00142369">
        <w:rPr>
          <w:rFonts w:eastAsia="Calibri" w:cstheme="minorHAnsi"/>
          <w:bCs/>
          <w:sz w:val="20"/>
          <w:szCs w:val="20"/>
        </w:rPr>
        <w:t>be in charge of</w:t>
      </w:r>
      <w:proofErr w:type="gramEnd"/>
      <w:r w:rsidRPr="00142369">
        <w:rPr>
          <w:rFonts w:eastAsia="Calibri" w:cstheme="minorHAnsi"/>
          <w:bCs/>
          <w:sz w:val="20"/>
          <w:szCs w:val="20"/>
        </w:rPr>
        <w:t>: (</w:t>
      </w:r>
      <w:proofErr w:type="spellStart"/>
      <w:r w:rsidRPr="00142369">
        <w:rPr>
          <w:rFonts w:eastAsia="Calibri" w:cstheme="minorHAnsi"/>
          <w:bCs/>
          <w:sz w:val="20"/>
          <w:szCs w:val="20"/>
        </w:rPr>
        <w:t>i</w:t>
      </w:r>
      <w:proofErr w:type="spellEnd"/>
      <w:r w:rsidRPr="00142369">
        <w:rPr>
          <w:rFonts w:eastAsia="Calibri" w:cstheme="minorHAnsi"/>
          <w:bCs/>
          <w:sz w:val="20"/>
          <w:szCs w:val="20"/>
        </w:rPr>
        <w:t xml:space="preserve">) initiating and conducting a </w:t>
      </w:r>
      <w:r w:rsidR="001C7293" w:rsidRPr="00142369">
        <w:rPr>
          <w:rFonts w:eastAsia="Calibri" w:cstheme="minorHAnsi"/>
          <w:bCs/>
          <w:sz w:val="20"/>
          <w:szCs w:val="20"/>
        </w:rPr>
        <w:t>CFP</w:t>
      </w:r>
      <w:r w:rsidR="00AE7055" w:rsidRPr="00142369">
        <w:rPr>
          <w:rFonts w:eastAsia="Calibri" w:cstheme="minorHAnsi"/>
          <w:bCs/>
          <w:sz w:val="20"/>
          <w:szCs w:val="20"/>
        </w:rPr>
        <w:t xml:space="preserve"> </w:t>
      </w:r>
      <w:r w:rsidRPr="00142369">
        <w:rPr>
          <w:rFonts w:eastAsia="Calibri" w:cstheme="minorHAnsi"/>
          <w:bCs/>
          <w:sz w:val="20"/>
          <w:szCs w:val="20"/>
        </w:rPr>
        <w:t>process to select the SME Fund manager</w:t>
      </w:r>
      <w:r w:rsidR="004C3289">
        <w:rPr>
          <w:rFonts w:eastAsia="Calibri" w:cstheme="minorHAnsi"/>
          <w:bCs/>
          <w:sz w:val="20"/>
          <w:szCs w:val="20"/>
        </w:rPr>
        <w:t>(s)</w:t>
      </w:r>
      <w:r w:rsidRPr="00142369">
        <w:rPr>
          <w:rFonts w:eastAsia="Calibri" w:cstheme="minorHAnsi"/>
          <w:bCs/>
          <w:sz w:val="20"/>
          <w:szCs w:val="20"/>
        </w:rPr>
        <w:t>; (ii</w:t>
      </w:r>
      <w:r w:rsidR="00D16CFA" w:rsidRPr="00142369">
        <w:rPr>
          <w:rFonts w:eastAsia="Calibri" w:cstheme="minorHAnsi"/>
          <w:bCs/>
          <w:sz w:val="20"/>
          <w:szCs w:val="20"/>
        </w:rPr>
        <w:t>) entering</w:t>
      </w:r>
      <w:r w:rsidRPr="00142369">
        <w:rPr>
          <w:rFonts w:eastAsia="Calibri" w:cstheme="minorHAnsi"/>
          <w:sz w:val="20"/>
          <w:szCs w:val="20"/>
        </w:rPr>
        <w:t xml:space="preserve"> into agreements with the</w:t>
      </w:r>
      <w:r w:rsidRPr="00142369">
        <w:rPr>
          <w:rFonts w:eastAsia="Calibri" w:cstheme="minorHAnsi"/>
          <w:bCs/>
          <w:sz w:val="20"/>
          <w:szCs w:val="20"/>
        </w:rPr>
        <w:t xml:space="preserve"> SME Fund Management Firm</w:t>
      </w:r>
      <w:r w:rsidR="00632A19">
        <w:rPr>
          <w:rFonts w:eastAsia="Calibri" w:cstheme="minorHAnsi"/>
          <w:bCs/>
          <w:sz w:val="20"/>
          <w:szCs w:val="20"/>
        </w:rPr>
        <w:t>s</w:t>
      </w:r>
      <w:r w:rsidRPr="00142369">
        <w:rPr>
          <w:rFonts w:eastAsia="Calibri" w:cstheme="minorHAnsi"/>
          <w:bCs/>
          <w:sz w:val="20"/>
          <w:szCs w:val="20"/>
        </w:rPr>
        <w:t xml:space="preserve">, </w:t>
      </w:r>
      <w:r w:rsidRPr="00142369">
        <w:rPr>
          <w:rFonts w:eastAsia="Calibri" w:cstheme="minorHAnsi"/>
          <w:sz w:val="20"/>
          <w:szCs w:val="20"/>
        </w:rPr>
        <w:t>whose eligible application</w:t>
      </w:r>
      <w:r w:rsidR="00632A19">
        <w:rPr>
          <w:rFonts w:eastAsia="Calibri" w:cstheme="minorHAnsi"/>
          <w:sz w:val="20"/>
          <w:szCs w:val="20"/>
        </w:rPr>
        <w:t>s</w:t>
      </w:r>
      <w:r w:rsidRPr="00142369">
        <w:rPr>
          <w:rFonts w:eastAsia="Calibri" w:cstheme="minorHAnsi"/>
          <w:sz w:val="20"/>
          <w:szCs w:val="20"/>
        </w:rPr>
        <w:t xml:space="preserve"> and subsequent offer</w:t>
      </w:r>
      <w:r w:rsidR="00632A19">
        <w:rPr>
          <w:rFonts w:eastAsia="Calibri" w:cstheme="minorHAnsi"/>
          <w:sz w:val="20"/>
          <w:szCs w:val="20"/>
        </w:rPr>
        <w:t>s</w:t>
      </w:r>
      <w:r w:rsidRPr="00142369">
        <w:rPr>
          <w:rFonts w:eastAsia="Calibri" w:cstheme="minorHAnsi"/>
          <w:sz w:val="20"/>
          <w:szCs w:val="20"/>
        </w:rPr>
        <w:t xml:space="preserve"> ha</w:t>
      </w:r>
      <w:r w:rsidR="00632A19">
        <w:rPr>
          <w:rFonts w:eastAsia="Calibri" w:cstheme="minorHAnsi"/>
          <w:sz w:val="20"/>
          <w:szCs w:val="20"/>
        </w:rPr>
        <w:t>ve</w:t>
      </w:r>
      <w:r w:rsidRPr="00142369">
        <w:rPr>
          <w:rFonts w:eastAsia="Calibri" w:cstheme="minorHAnsi"/>
          <w:sz w:val="20"/>
          <w:szCs w:val="20"/>
        </w:rPr>
        <w:t xml:space="preserve"> been accepted</w:t>
      </w:r>
      <w:r w:rsidRPr="00142369">
        <w:rPr>
          <w:rFonts w:eastAsia="Calibri" w:cstheme="minorHAnsi"/>
          <w:bCs/>
          <w:sz w:val="20"/>
          <w:szCs w:val="20"/>
        </w:rPr>
        <w:t>; (</w:t>
      </w:r>
      <w:r w:rsidR="00D3534C" w:rsidRPr="00142369">
        <w:rPr>
          <w:rFonts w:eastAsia="Calibri" w:cstheme="minorHAnsi"/>
          <w:bCs/>
          <w:sz w:val="20"/>
          <w:szCs w:val="20"/>
        </w:rPr>
        <w:t>iii</w:t>
      </w:r>
      <w:r w:rsidRPr="00142369">
        <w:rPr>
          <w:rFonts w:eastAsia="Calibri" w:cstheme="minorHAnsi"/>
          <w:bCs/>
          <w:sz w:val="20"/>
          <w:szCs w:val="20"/>
        </w:rPr>
        <w:t>)</w:t>
      </w:r>
      <w:r w:rsidRPr="00142369">
        <w:rPr>
          <w:rFonts w:eastAsia="Calibri" w:cstheme="minorHAnsi"/>
          <w:b/>
          <w:bCs/>
          <w:sz w:val="20"/>
          <w:szCs w:val="20"/>
        </w:rPr>
        <w:t xml:space="preserve"> </w:t>
      </w:r>
      <w:r w:rsidR="00DC401C">
        <w:rPr>
          <w:rFonts w:eastAsia="Calibri" w:cstheme="minorHAnsi"/>
          <w:sz w:val="20"/>
          <w:szCs w:val="20"/>
        </w:rPr>
        <w:t xml:space="preserve">making payments in accordance </w:t>
      </w:r>
      <w:r w:rsidR="00DC401C" w:rsidRPr="00EE7E33">
        <w:rPr>
          <w:rFonts w:eastAsia="Calibri" w:cstheme="minorHAnsi"/>
          <w:sz w:val="20"/>
          <w:szCs w:val="20"/>
        </w:rPr>
        <w:t>with subscription agreement</w:t>
      </w:r>
      <w:r w:rsidR="006556CF" w:rsidRPr="00EE7E33">
        <w:rPr>
          <w:rFonts w:eastAsia="Calibri" w:cstheme="minorHAnsi"/>
          <w:sz w:val="20"/>
          <w:szCs w:val="20"/>
        </w:rPr>
        <w:t>s</w:t>
      </w:r>
      <w:r w:rsidRPr="00EE7E33">
        <w:rPr>
          <w:rFonts w:eastAsia="Calibri" w:cstheme="minorHAnsi"/>
          <w:bCs/>
          <w:sz w:val="20"/>
          <w:szCs w:val="20"/>
        </w:rPr>
        <w:t>;(</w:t>
      </w:r>
      <w:r w:rsidR="00D3534C" w:rsidRPr="00EE7E33">
        <w:rPr>
          <w:rFonts w:eastAsia="Calibri" w:cstheme="minorHAnsi"/>
          <w:bCs/>
          <w:sz w:val="20"/>
          <w:szCs w:val="20"/>
        </w:rPr>
        <w:t>iv</w:t>
      </w:r>
      <w:r w:rsidRPr="00EE7E33">
        <w:rPr>
          <w:rFonts w:eastAsia="Calibri" w:cstheme="minorHAnsi"/>
          <w:bCs/>
          <w:sz w:val="20"/>
          <w:szCs w:val="20"/>
        </w:rPr>
        <w:t xml:space="preserve">) ensuring that </w:t>
      </w:r>
      <w:r w:rsidR="00CC1B62" w:rsidRPr="00EE7E33">
        <w:rPr>
          <w:rFonts w:eastAsia="Calibri" w:cstheme="minorHAnsi"/>
          <w:bCs/>
          <w:sz w:val="20"/>
          <w:szCs w:val="20"/>
        </w:rPr>
        <w:t xml:space="preserve">compliance with </w:t>
      </w:r>
      <w:r w:rsidR="007C4320" w:rsidRPr="00EE7E33">
        <w:rPr>
          <w:rFonts w:eastAsia="Calibri" w:cstheme="minorHAnsi"/>
          <w:sz w:val="20"/>
          <w:szCs w:val="20"/>
        </w:rPr>
        <w:t xml:space="preserve">DBJ </w:t>
      </w:r>
      <w:r w:rsidRPr="00EE7E33">
        <w:rPr>
          <w:rFonts w:eastAsia="Calibri" w:cstheme="minorHAnsi"/>
          <w:sz w:val="20"/>
          <w:szCs w:val="20"/>
        </w:rPr>
        <w:t>reporting</w:t>
      </w:r>
      <w:r w:rsidR="00CC1B62" w:rsidRPr="00EE7E33">
        <w:rPr>
          <w:rFonts w:eastAsia="Calibri" w:cstheme="minorHAnsi"/>
          <w:sz w:val="20"/>
          <w:szCs w:val="20"/>
        </w:rPr>
        <w:t>,</w:t>
      </w:r>
      <w:r w:rsidRPr="00EE7E33">
        <w:rPr>
          <w:rFonts w:eastAsia="Calibri" w:cstheme="minorHAnsi"/>
          <w:sz w:val="20"/>
          <w:szCs w:val="20"/>
        </w:rPr>
        <w:t xml:space="preserve"> monitoring</w:t>
      </w:r>
      <w:r w:rsidR="00CC1B62" w:rsidRPr="00EE7E33">
        <w:rPr>
          <w:rFonts w:eastAsia="Calibri" w:cstheme="minorHAnsi"/>
          <w:sz w:val="20"/>
          <w:szCs w:val="20"/>
        </w:rPr>
        <w:t>,</w:t>
      </w:r>
      <w:r w:rsidRPr="00EE7E33">
        <w:rPr>
          <w:rFonts w:eastAsia="Calibri" w:cstheme="minorHAnsi"/>
          <w:sz w:val="20"/>
          <w:szCs w:val="20"/>
        </w:rPr>
        <w:t xml:space="preserve"> and evaluation requirements of investments, as well as procurement and safeguards policies</w:t>
      </w:r>
      <w:r w:rsidR="00CC1B62" w:rsidRPr="00EE7E33">
        <w:rPr>
          <w:rFonts w:eastAsia="Calibri" w:cstheme="minorHAnsi"/>
          <w:sz w:val="20"/>
          <w:szCs w:val="20"/>
        </w:rPr>
        <w:t>.</w:t>
      </w:r>
      <w:r w:rsidRPr="00142369">
        <w:rPr>
          <w:rFonts w:eastAsia="Calibri" w:cstheme="minorHAnsi"/>
          <w:sz w:val="20"/>
          <w:szCs w:val="20"/>
        </w:rPr>
        <w:t xml:space="preserve"> </w:t>
      </w:r>
    </w:p>
    <w:p w14:paraId="1272EFF6" w14:textId="53BD6783"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DBJ will not be involved in the investment decisions of the SME Fund</w:t>
      </w:r>
      <w:r w:rsidR="006556CF">
        <w:rPr>
          <w:rFonts w:eastAsia="Calibri" w:cstheme="minorHAnsi"/>
          <w:sz w:val="20"/>
          <w:szCs w:val="20"/>
        </w:rPr>
        <w:t>s</w:t>
      </w:r>
      <w:r w:rsidRPr="00142369">
        <w:rPr>
          <w:rFonts w:eastAsia="Calibri" w:cstheme="minorHAnsi"/>
          <w:sz w:val="20"/>
          <w:szCs w:val="20"/>
        </w:rPr>
        <w:t xml:space="preserve">. </w:t>
      </w:r>
    </w:p>
    <w:p w14:paraId="5E6C5EF9" w14:textId="77777777" w:rsidR="007876A8" w:rsidRPr="00142369" w:rsidRDefault="007876A8" w:rsidP="00625D6F">
      <w:pPr>
        <w:numPr>
          <w:ilvl w:val="0"/>
          <w:numId w:val="17"/>
        </w:numPr>
        <w:spacing w:after="240"/>
        <w:ind w:left="1440"/>
        <w:jc w:val="both"/>
        <w:rPr>
          <w:rFonts w:eastAsia="Calibri" w:cstheme="minorHAnsi"/>
          <w:b/>
          <w:sz w:val="20"/>
          <w:szCs w:val="20"/>
        </w:rPr>
      </w:pPr>
      <w:r w:rsidRPr="00142369">
        <w:rPr>
          <w:rFonts w:eastAsia="Calibri" w:cstheme="minorHAnsi"/>
          <w:b/>
          <w:sz w:val="20"/>
          <w:szCs w:val="20"/>
        </w:rPr>
        <w:t>Role of Investment Committee (IC)</w:t>
      </w:r>
    </w:p>
    <w:p w14:paraId="34EC8693" w14:textId="6E71DA5B" w:rsidR="007876A8" w:rsidRPr="00142369" w:rsidRDefault="007876A8">
      <w:pPr>
        <w:spacing w:after="240"/>
        <w:ind w:left="720"/>
        <w:jc w:val="both"/>
        <w:rPr>
          <w:rFonts w:eastAsia="Calibri" w:cstheme="minorHAnsi"/>
          <w:sz w:val="20"/>
          <w:szCs w:val="20"/>
        </w:rPr>
      </w:pPr>
      <w:r w:rsidRPr="00142369">
        <w:rPr>
          <w:rFonts w:eastAsia="Calibri" w:cstheme="minorHAnsi"/>
          <w:sz w:val="20"/>
          <w:szCs w:val="20"/>
        </w:rPr>
        <w:t>The Investment Committee (IC) will be constituted by the SME Fund Management Firm and</w:t>
      </w:r>
      <w:r w:rsidR="00BA5F1C" w:rsidRPr="00142369">
        <w:rPr>
          <w:rFonts w:eastAsia="Calibri" w:cstheme="minorHAnsi"/>
          <w:sz w:val="20"/>
          <w:szCs w:val="20"/>
        </w:rPr>
        <w:t xml:space="preserve"> </w:t>
      </w:r>
      <w:r w:rsidR="00406724" w:rsidRPr="00142369">
        <w:rPr>
          <w:rFonts w:cstheme="minorHAnsi"/>
          <w:sz w:val="20"/>
          <w:szCs w:val="20"/>
        </w:rPr>
        <w:t>independent members with relevant private equity expertise</w:t>
      </w:r>
      <w:r w:rsidR="00BB4913">
        <w:rPr>
          <w:rFonts w:cstheme="minorHAnsi"/>
          <w:sz w:val="20"/>
          <w:szCs w:val="20"/>
        </w:rPr>
        <w:t>.</w:t>
      </w:r>
      <w:r w:rsidR="00406724" w:rsidRPr="00142369">
        <w:rPr>
          <w:rFonts w:cstheme="minorHAnsi"/>
          <w:sz w:val="20"/>
          <w:szCs w:val="20"/>
        </w:rPr>
        <w:t xml:space="preserve"> </w:t>
      </w:r>
      <w:r w:rsidRPr="00142369">
        <w:rPr>
          <w:rFonts w:eastAsia="Calibri" w:cstheme="minorHAnsi"/>
          <w:sz w:val="20"/>
          <w:szCs w:val="20"/>
        </w:rPr>
        <w:t>There will not be any government participation on the IC or affiliation to the SME Fund Management Firm.</w:t>
      </w:r>
      <w:r w:rsidR="00991BE8" w:rsidRPr="00142369">
        <w:rPr>
          <w:rFonts w:eastAsia="Calibri" w:cstheme="minorHAnsi"/>
          <w:sz w:val="20"/>
          <w:szCs w:val="20"/>
        </w:rPr>
        <w:t xml:space="preserve"> </w:t>
      </w:r>
      <w:r w:rsidRPr="00142369">
        <w:rPr>
          <w:rFonts w:eastAsia="Calibri" w:cstheme="minorHAnsi"/>
          <w:sz w:val="20"/>
          <w:szCs w:val="20"/>
        </w:rPr>
        <w:t>The constitution of the IC will be defined in the Management Agreement.</w:t>
      </w:r>
    </w:p>
    <w:p w14:paraId="70F391A3" w14:textId="4EDD3BAD" w:rsidR="007876A8" w:rsidRDefault="007876A8">
      <w:pPr>
        <w:spacing w:after="240"/>
        <w:ind w:left="720"/>
        <w:jc w:val="both"/>
        <w:rPr>
          <w:rFonts w:eastAsia="Calibri" w:cstheme="minorHAnsi"/>
          <w:sz w:val="20"/>
          <w:szCs w:val="20"/>
        </w:rPr>
      </w:pPr>
      <w:r w:rsidRPr="00142369">
        <w:rPr>
          <w:rFonts w:eastAsia="MS Mincho" w:cstheme="minorHAnsi"/>
          <w:sz w:val="20"/>
          <w:szCs w:val="20"/>
        </w:rPr>
        <w:t xml:space="preserve">The composition of the IC is intended to reassure investor partners of the serious intent behind their decisions, no political interest capture, and good governance of the SME Fund. </w:t>
      </w:r>
      <w:r w:rsidRPr="00142369">
        <w:rPr>
          <w:rFonts w:eastAsia="Calibri" w:cstheme="minorHAnsi"/>
          <w:sz w:val="20"/>
          <w:szCs w:val="20"/>
        </w:rPr>
        <w:t>Decisions will be made independently based on the commercial viability of the proposals.</w:t>
      </w:r>
    </w:p>
    <w:p w14:paraId="18473577" w14:textId="67ADD794" w:rsidR="00351575" w:rsidRDefault="00351575">
      <w:pPr>
        <w:spacing w:after="240"/>
        <w:ind w:left="720"/>
        <w:jc w:val="both"/>
        <w:rPr>
          <w:rFonts w:eastAsia="Calibri" w:cstheme="minorHAnsi"/>
          <w:sz w:val="20"/>
          <w:szCs w:val="20"/>
        </w:rPr>
      </w:pPr>
    </w:p>
    <w:p w14:paraId="13342D06" w14:textId="1942F4C6" w:rsidR="001B6095" w:rsidRDefault="001B6095">
      <w:pPr>
        <w:spacing w:after="160" w:line="259" w:lineRule="auto"/>
        <w:rPr>
          <w:rFonts w:eastAsia="MS Mincho" w:cstheme="minorHAnsi"/>
          <w:bCs/>
          <w:sz w:val="20"/>
          <w:szCs w:val="20"/>
        </w:rPr>
      </w:pPr>
      <w:r>
        <w:rPr>
          <w:rFonts w:eastAsia="MS Mincho" w:cstheme="minorHAnsi"/>
          <w:bCs/>
          <w:sz w:val="20"/>
          <w:szCs w:val="20"/>
        </w:rPr>
        <w:br w:type="page"/>
      </w:r>
    </w:p>
    <w:p w14:paraId="38B503A2" w14:textId="77777777" w:rsidR="00351575" w:rsidRPr="00142369" w:rsidRDefault="00351575">
      <w:pPr>
        <w:spacing w:after="240"/>
        <w:ind w:left="720"/>
        <w:jc w:val="both"/>
        <w:rPr>
          <w:rFonts w:eastAsia="MS Mincho" w:cstheme="minorHAnsi"/>
          <w:bCs/>
          <w:sz w:val="20"/>
          <w:szCs w:val="20"/>
        </w:rPr>
      </w:pPr>
    </w:p>
    <w:p w14:paraId="4B270B0E" w14:textId="77777777" w:rsidR="007876A8" w:rsidRPr="00142369" w:rsidRDefault="007876A8" w:rsidP="00625D6F">
      <w:pPr>
        <w:numPr>
          <w:ilvl w:val="0"/>
          <w:numId w:val="17"/>
        </w:numPr>
        <w:spacing w:after="240"/>
        <w:ind w:left="1440"/>
        <w:jc w:val="both"/>
        <w:rPr>
          <w:rFonts w:eastAsia="Calibri" w:cstheme="minorHAnsi"/>
          <w:b/>
          <w:sz w:val="20"/>
          <w:szCs w:val="20"/>
        </w:rPr>
      </w:pPr>
      <w:r w:rsidRPr="00142369">
        <w:rPr>
          <w:rFonts w:eastAsia="Calibri" w:cstheme="minorHAnsi"/>
          <w:b/>
          <w:sz w:val="20"/>
          <w:szCs w:val="20"/>
        </w:rPr>
        <w:t>Role of Advisory Committee (AC)</w:t>
      </w:r>
    </w:p>
    <w:p w14:paraId="33E00735" w14:textId="516F128E" w:rsidR="007876A8" w:rsidRPr="00142369" w:rsidRDefault="006556CF">
      <w:pPr>
        <w:spacing w:after="240"/>
        <w:ind w:left="720"/>
        <w:jc w:val="both"/>
        <w:rPr>
          <w:rFonts w:eastAsia="Calibri" w:cstheme="minorHAnsi"/>
          <w:sz w:val="20"/>
          <w:szCs w:val="20"/>
        </w:rPr>
      </w:pPr>
      <w:r>
        <w:rPr>
          <w:rFonts w:eastAsia="Calibri" w:cstheme="minorHAnsi"/>
          <w:sz w:val="20"/>
          <w:szCs w:val="20"/>
        </w:rPr>
        <w:t>Each</w:t>
      </w:r>
      <w:r w:rsidR="007876A8" w:rsidRPr="00142369">
        <w:rPr>
          <w:rFonts w:eastAsia="Calibri" w:cstheme="minorHAnsi"/>
          <w:sz w:val="20"/>
          <w:szCs w:val="20"/>
        </w:rPr>
        <w:t xml:space="preserve"> SME Fund will have an Advisory Committee (AC) comprised of a small number of voting representatives of the investors, includ</w:t>
      </w:r>
      <w:r w:rsidR="00BB4913">
        <w:rPr>
          <w:rFonts w:eastAsia="Calibri" w:cstheme="minorHAnsi"/>
          <w:sz w:val="20"/>
          <w:szCs w:val="20"/>
        </w:rPr>
        <w:t>ing</w:t>
      </w:r>
      <w:r w:rsidR="007876A8" w:rsidRPr="00142369">
        <w:rPr>
          <w:rFonts w:eastAsia="Calibri" w:cstheme="minorHAnsi"/>
          <w:sz w:val="20"/>
          <w:szCs w:val="20"/>
        </w:rPr>
        <w:t xml:space="preserve"> the </w:t>
      </w:r>
      <w:r w:rsidR="00DC401C">
        <w:rPr>
          <w:rFonts w:eastAsia="Calibri" w:cstheme="minorHAnsi"/>
          <w:sz w:val="20"/>
          <w:szCs w:val="20"/>
        </w:rPr>
        <w:t>DBJ</w:t>
      </w:r>
      <w:r w:rsidR="007876A8" w:rsidRPr="00142369">
        <w:rPr>
          <w:rFonts w:eastAsia="Calibri" w:cstheme="minorHAnsi"/>
          <w:sz w:val="20"/>
          <w:szCs w:val="20"/>
        </w:rPr>
        <w:t>. The constitution of the AC will be defined in the applicable investment documents.</w:t>
      </w:r>
    </w:p>
    <w:p w14:paraId="50CF4641" w14:textId="63005A39" w:rsidR="00142369" w:rsidRPr="00142369" w:rsidRDefault="007876A8" w:rsidP="005253D7">
      <w:pPr>
        <w:spacing w:after="240"/>
        <w:ind w:left="720"/>
        <w:jc w:val="both"/>
        <w:rPr>
          <w:rFonts w:eastAsia="Calibri" w:cstheme="minorHAnsi"/>
          <w:sz w:val="20"/>
          <w:szCs w:val="20"/>
        </w:rPr>
      </w:pPr>
      <w:r w:rsidRPr="00142369">
        <w:rPr>
          <w:rFonts w:eastAsia="Calibri" w:cstheme="minorHAnsi"/>
          <w:sz w:val="20"/>
          <w:szCs w:val="20"/>
        </w:rPr>
        <w:t xml:space="preserve">The AC will be responsible for overall oversight of the SME Fund, in line with the original objectives of the </w:t>
      </w:r>
      <w:r w:rsidR="00436923" w:rsidRPr="00142369">
        <w:rPr>
          <w:rFonts w:eastAsia="Calibri" w:cstheme="minorHAnsi"/>
          <w:sz w:val="20"/>
          <w:szCs w:val="20"/>
        </w:rPr>
        <w:t>fund</w:t>
      </w:r>
      <w:r w:rsidRPr="00142369">
        <w:rPr>
          <w:rFonts w:eastAsia="Calibri" w:cstheme="minorHAnsi"/>
          <w:sz w:val="20"/>
          <w:szCs w:val="20"/>
        </w:rPr>
        <w:t xml:space="preserve"> and Management Agreement. The AC will also be responsible for ensuring that transparency in information and decision criteria is achieved within the limits of commercially sensitive disclosure</w:t>
      </w:r>
      <w:r w:rsidR="00525E8A" w:rsidRPr="00142369">
        <w:rPr>
          <w:rFonts w:eastAsia="Calibri" w:cstheme="minorHAnsi"/>
          <w:sz w:val="20"/>
          <w:szCs w:val="20"/>
        </w:rPr>
        <w:t xml:space="preserve">. </w:t>
      </w:r>
      <w:r w:rsidRPr="00142369">
        <w:rPr>
          <w:rFonts w:eastAsia="Calibri" w:cstheme="minorHAnsi"/>
          <w:sz w:val="20"/>
          <w:szCs w:val="20"/>
        </w:rPr>
        <w:t xml:space="preserve">However, the AC will not influence investment decisions. </w:t>
      </w:r>
    </w:p>
    <w:p w14:paraId="0991E62D" w14:textId="77777777" w:rsidR="00E445B8" w:rsidRPr="00142369" w:rsidRDefault="00E445B8" w:rsidP="000C2D6C">
      <w:pPr>
        <w:pStyle w:val="Heading1"/>
        <w:keepLines w:val="0"/>
        <w:numPr>
          <w:ilvl w:val="0"/>
          <w:numId w:val="1"/>
        </w:numPr>
        <w:spacing w:before="240" w:after="60"/>
        <w:ind w:left="360"/>
        <w:rPr>
          <w:rFonts w:asciiTheme="minorHAnsi" w:hAnsiTheme="minorHAnsi" w:cstheme="minorHAnsi"/>
          <w:color w:val="1F497D"/>
          <w:sz w:val="20"/>
          <w:szCs w:val="20"/>
        </w:rPr>
      </w:pPr>
      <w:bookmarkStart w:id="23" w:name="_Toc392698183"/>
      <w:bookmarkStart w:id="24" w:name="_Toc429390663"/>
      <w:bookmarkStart w:id="25" w:name="_Toc31010186"/>
      <w:r w:rsidRPr="00142369">
        <w:rPr>
          <w:rFonts w:asciiTheme="minorHAnsi" w:hAnsiTheme="minorHAnsi" w:cstheme="minorHAnsi"/>
          <w:color w:val="1F497D"/>
          <w:sz w:val="20"/>
          <w:szCs w:val="20"/>
        </w:rPr>
        <w:t>Proposal Presentation</w:t>
      </w:r>
      <w:bookmarkEnd w:id="23"/>
      <w:bookmarkEnd w:id="24"/>
      <w:bookmarkEnd w:id="25"/>
    </w:p>
    <w:p w14:paraId="3D37FA6E" w14:textId="1E6F6B95"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r w:rsidRPr="00142369">
        <w:rPr>
          <w:rFonts w:asciiTheme="minorHAnsi" w:hAnsiTheme="minorHAnsi" w:cstheme="minorHAnsi"/>
          <w:sz w:val="20"/>
          <w:szCs w:val="20"/>
        </w:rPr>
        <w:t xml:space="preserve">For the Proposal to be considered as pre-qualified for submission to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 the following minimum information should be presented:</w:t>
      </w:r>
    </w:p>
    <w:p w14:paraId="278F1CA3" w14:textId="77777777" w:rsidR="00E445B8" w:rsidRPr="00142369" w:rsidRDefault="00E445B8" w:rsidP="000C2D6C">
      <w:pPr>
        <w:pStyle w:val="Heading2"/>
        <w:numPr>
          <w:ilvl w:val="1"/>
          <w:numId w:val="1"/>
        </w:numPr>
        <w:spacing w:line="276" w:lineRule="auto"/>
        <w:rPr>
          <w:rFonts w:asciiTheme="minorHAnsi" w:hAnsiTheme="minorHAnsi" w:cstheme="minorHAnsi"/>
          <w:sz w:val="20"/>
          <w:szCs w:val="20"/>
        </w:rPr>
      </w:pPr>
      <w:bookmarkStart w:id="26" w:name="_Toc392698184"/>
      <w:bookmarkStart w:id="27" w:name="_Toc429390664"/>
      <w:bookmarkStart w:id="28" w:name="_Toc31010187"/>
      <w:r w:rsidRPr="00142369">
        <w:rPr>
          <w:rFonts w:asciiTheme="minorHAnsi" w:hAnsiTheme="minorHAnsi" w:cstheme="minorHAnsi"/>
          <w:sz w:val="20"/>
          <w:szCs w:val="20"/>
        </w:rPr>
        <w:t>Executive Summary</w:t>
      </w:r>
      <w:bookmarkEnd w:id="26"/>
      <w:bookmarkEnd w:id="27"/>
      <w:bookmarkEnd w:id="28"/>
    </w:p>
    <w:p w14:paraId="384A686A" w14:textId="77777777" w:rsidR="00E445B8" w:rsidRPr="00142369" w:rsidRDefault="00E445B8" w:rsidP="00625D6F">
      <w:pPr>
        <w:pStyle w:val="LightGrid-Accent31"/>
        <w:numPr>
          <w:ilvl w:val="0"/>
          <w:numId w:val="2"/>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Company Information:</w:t>
      </w:r>
    </w:p>
    <w:p w14:paraId="19948420" w14:textId="2D27AB80" w:rsidR="00E445B8"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Name and address of the </w:t>
      </w:r>
      <w:r w:rsidRPr="00142369">
        <w:rPr>
          <w:rFonts w:asciiTheme="minorHAnsi" w:hAnsiTheme="minorHAnsi" w:cstheme="minorHAnsi"/>
          <w:b/>
          <w:sz w:val="20"/>
          <w:szCs w:val="20"/>
        </w:rPr>
        <w:t>Applicant,</w:t>
      </w:r>
      <w:r w:rsidRPr="00142369">
        <w:rPr>
          <w:rFonts w:asciiTheme="minorHAnsi" w:hAnsiTheme="minorHAnsi" w:cstheme="minorHAnsi"/>
          <w:sz w:val="20"/>
          <w:szCs w:val="20"/>
        </w:rPr>
        <w:t xml:space="preserve"> Registration Number, Taxpayer Registration Number, telephone number and email address</w:t>
      </w:r>
      <w:r w:rsidR="00DC401C">
        <w:rPr>
          <w:rFonts w:asciiTheme="minorHAnsi" w:hAnsiTheme="minorHAnsi" w:cstheme="minorHAnsi"/>
          <w:sz w:val="20"/>
          <w:szCs w:val="20"/>
        </w:rPr>
        <w:t>.</w:t>
      </w:r>
    </w:p>
    <w:p w14:paraId="512DAC7C" w14:textId="77777777" w:rsidR="00730A2C" w:rsidRPr="00142369" w:rsidRDefault="00730A2C" w:rsidP="00730A2C">
      <w:pPr>
        <w:pStyle w:val="LightGrid-Accent31"/>
        <w:spacing w:after="200" w:line="276" w:lineRule="auto"/>
        <w:ind w:left="1800"/>
        <w:jc w:val="both"/>
        <w:rPr>
          <w:rFonts w:asciiTheme="minorHAnsi" w:hAnsiTheme="minorHAnsi" w:cstheme="minorHAnsi"/>
          <w:sz w:val="20"/>
          <w:szCs w:val="20"/>
        </w:rPr>
      </w:pPr>
    </w:p>
    <w:p w14:paraId="719D7C64" w14:textId="77777777" w:rsidR="00E445B8" w:rsidRPr="00142369" w:rsidRDefault="00E445B8" w:rsidP="00625D6F">
      <w:pPr>
        <w:pStyle w:val="LightGrid-Accent31"/>
        <w:numPr>
          <w:ilvl w:val="0"/>
          <w:numId w:val="2"/>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Information:</w:t>
      </w:r>
    </w:p>
    <w:p w14:paraId="41B9EE15" w14:textId="65EB2623" w:rsidR="00E445B8" w:rsidRPr="00142369" w:rsidRDefault="00DC401C"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Name.</w:t>
      </w:r>
    </w:p>
    <w:p w14:paraId="14EF68E2" w14:textId="0923085A"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Name of the Management Company</w:t>
      </w:r>
      <w:r w:rsidR="00DC401C">
        <w:rPr>
          <w:rFonts w:asciiTheme="minorHAnsi" w:hAnsiTheme="minorHAnsi" w:cstheme="minorHAnsi"/>
          <w:sz w:val="20"/>
          <w:szCs w:val="20"/>
        </w:rPr>
        <w:t>.</w:t>
      </w:r>
    </w:p>
    <w:p w14:paraId="3F9763FE" w14:textId="20040CEF"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Name of the Administration Company</w:t>
      </w:r>
      <w:r w:rsidR="00DC401C">
        <w:rPr>
          <w:rFonts w:asciiTheme="minorHAnsi" w:hAnsiTheme="minorHAnsi" w:cstheme="minorHAnsi"/>
          <w:sz w:val="20"/>
          <w:szCs w:val="20"/>
        </w:rPr>
        <w:t>.</w:t>
      </w:r>
    </w:p>
    <w:p w14:paraId="2DE3E276" w14:textId="5670F50E"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Name of the person(s) responsible for the management and administration of the </w:t>
      </w:r>
      <w:r w:rsidRPr="00142369">
        <w:rPr>
          <w:rFonts w:asciiTheme="minorHAnsi" w:hAnsiTheme="minorHAnsi" w:cstheme="minorHAnsi"/>
          <w:b/>
          <w:sz w:val="20"/>
          <w:szCs w:val="20"/>
        </w:rPr>
        <w:t>Fund</w:t>
      </w:r>
      <w:r w:rsidR="00DC401C">
        <w:rPr>
          <w:rFonts w:asciiTheme="minorHAnsi" w:hAnsiTheme="minorHAnsi" w:cstheme="minorHAnsi"/>
          <w:b/>
          <w:sz w:val="20"/>
          <w:szCs w:val="20"/>
        </w:rPr>
        <w:t>.</w:t>
      </w:r>
    </w:p>
    <w:p w14:paraId="618927AC" w14:textId="4675F7D2" w:rsidR="00E445B8"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Legal Structure (Corporation, Partnership, Trust, </w:t>
      </w:r>
      <w:r w:rsidR="00DC401C" w:rsidRPr="00142369">
        <w:rPr>
          <w:rFonts w:asciiTheme="minorHAnsi" w:hAnsiTheme="minorHAnsi" w:cstheme="minorHAnsi"/>
          <w:sz w:val="20"/>
          <w:szCs w:val="20"/>
        </w:rPr>
        <w:t>etc.</w:t>
      </w:r>
      <w:r w:rsidRPr="00142369">
        <w:rPr>
          <w:rFonts w:asciiTheme="minorHAnsi" w:hAnsiTheme="minorHAnsi" w:cstheme="minorHAnsi"/>
          <w:sz w:val="20"/>
          <w:szCs w:val="20"/>
        </w:rPr>
        <w:t>).</w:t>
      </w:r>
    </w:p>
    <w:p w14:paraId="55EC9190" w14:textId="77777777" w:rsidR="006451B6" w:rsidRPr="00142369" w:rsidRDefault="006451B6" w:rsidP="006451B6">
      <w:pPr>
        <w:pStyle w:val="LightGrid-Accent31"/>
        <w:spacing w:after="200" w:line="276" w:lineRule="auto"/>
        <w:ind w:left="1800"/>
        <w:jc w:val="both"/>
        <w:rPr>
          <w:rFonts w:asciiTheme="minorHAnsi" w:hAnsiTheme="minorHAnsi" w:cstheme="minorHAnsi"/>
          <w:sz w:val="20"/>
          <w:szCs w:val="20"/>
        </w:rPr>
      </w:pPr>
    </w:p>
    <w:p w14:paraId="1681D2B1" w14:textId="77777777" w:rsidR="00985D2B" w:rsidRPr="00142369" w:rsidRDefault="00985D2B" w:rsidP="000C2D6C">
      <w:pPr>
        <w:pStyle w:val="LightGrid-Accent31"/>
        <w:spacing w:after="200" w:line="276" w:lineRule="auto"/>
        <w:ind w:left="1800"/>
        <w:jc w:val="both"/>
        <w:rPr>
          <w:rFonts w:asciiTheme="minorHAnsi" w:hAnsiTheme="minorHAnsi" w:cstheme="minorHAnsi"/>
          <w:sz w:val="20"/>
          <w:szCs w:val="20"/>
        </w:rPr>
      </w:pPr>
    </w:p>
    <w:p w14:paraId="65C3ECD0" w14:textId="24032754" w:rsidR="00E445B8" w:rsidRPr="00142369" w:rsidRDefault="00E445B8" w:rsidP="00625D6F">
      <w:pPr>
        <w:pStyle w:val="LightGrid-Accent31"/>
        <w:numPr>
          <w:ilvl w:val="0"/>
          <w:numId w:val="2"/>
        </w:numPr>
        <w:spacing w:after="200" w:line="276" w:lineRule="auto"/>
        <w:jc w:val="both"/>
        <w:rPr>
          <w:rFonts w:asciiTheme="minorHAnsi" w:hAnsiTheme="minorHAnsi" w:cstheme="minorHAnsi"/>
          <w:b/>
          <w:sz w:val="20"/>
          <w:szCs w:val="20"/>
        </w:rPr>
      </w:pPr>
      <w:bookmarkStart w:id="29" w:name="_Hlk30754178"/>
      <w:r w:rsidRPr="00142369">
        <w:rPr>
          <w:rFonts w:asciiTheme="minorHAnsi" w:hAnsiTheme="minorHAnsi" w:cstheme="minorHAnsi"/>
          <w:b/>
          <w:sz w:val="20"/>
          <w:szCs w:val="20"/>
        </w:rPr>
        <w:t>Fund Strategy:</w:t>
      </w:r>
    </w:p>
    <w:p w14:paraId="2860E704" w14:textId="36B1160C"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Objective: whether by sector or inter alia, local, regional, international) of the </w:t>
      </w:r>
      <w:r w:rsidRPr="00142369">
        <w:rPr>
          <w:rFonts w:asciiTheme="minorHAnsi" w:hAnsiTheme="minorHAnsi" w:cstheme="minorHAnsi"/>
          <w:b/>
          <w:sz w:val="20"/>
          <w:szCs w:val="20"/>
        </w:rPr>
        <w:t xml:space="preserve">Fund </w:t>
      </w:r>
      <w:r w:rsidRPr="00142369">
        <w:rPr>
          <w:rFonts w:asciiTheme="minorHAnsi" w:hAnsiTheme="minorHAnsi" w:cstheme="minorHAnsi"/>
          <w:sz w:val="20"/>
          <w:szCs w:val="20"/>
        </w:rPr>
        <w:t>in relation to the profile(s) of the Investee Companies</w:t>
      </w:r>
      <w:r w:rsidR="00DC401C">
        <w:rPr>
          <w:rFonts w:asciiTheme="minorHAnsi" w:hAnsiTheme="minorHAnsi" w:cstheme="minorHAnsi"/>
          <w:sz w:val="20"/>
          <w:szCs w:val="20"/>
        </w:rPr>
        <w:t>.</w:t>
      </w:r>
      <w:r w:rsidRPr="00142369">
        <w:rPr>
          <w:rFonts w:asciiTheme="minorHAnsi" w:hAnsiTheme="minorHAnsi" w:cstheme="minorHAnsi"/>
          <w:sz w:val="20"/>
          <w:szCs w:val="20"/>
        </w:rPr>
        <w:t xml:space="preserve"> </w:t>
      </w:r>
    </w:p>
    <w:p w14:paraId="288B5D2C" w14:textId="42A78D45"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Proposed maximum and </w:t>
      </w:r>
      <w:r w:rsidR="00A26281" w:rsidRPr="00142369">
        <w:rPr>
          <w:rFonts w:asciiTheme="minorHAnsi" w:hAnsiTheme="minorHAnsi" w:cstheme="minorHAnsi"/>
          <w:sz w:val="20"/>
          <w:szCs w:val="20"/>
        </w:rPr>
        <w:t xml:space="preserve">a </w:t>
      </w:r>
      <w:r w:rsidRPr="00142369">
        <w:rPr>
          <w:rFonts w:asciiTheme="minorHAnsi" w:hAnsiTheme="minorHAnsi" w:cstheme="minorHAnsi"/>
          <w:sz w:val="20"/>
          <w:szCs w:val="20"/>
        </w:rPr>
        <w:t xml:space="preserve">minimum investment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by sector</w:t>
      </w:r>
      <w:r w:rsidR="00DC401C">
        <w:rPr>
          <w:rFonts w:asciiTheme="minorHAnsi" w:hAnsiTheme="minorHAnsi" w:cstheme="minorHAnsi"/>
          <w:sz w:val="20"/>
          <w:szCs w:val="20"/>
        </w:rPr>
        <w:t>.</w:t>
      </w:r>
    </w:p>
    <w:p w14:paraId="058216DD" w14:textId="30E371C6"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Maximum and minimum investment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in Investee Companies</w:t>
      </w:r>
      <w:r w:rsidR="00DC401C">
        <w:rPr>
          <w:rFonts w:asciiTheme="minorHAnsi" w:hAnsiTheme="minorHAnsi" w:cstheme="minorHAnsi"/>
          <w:sz w:val="20"/>
          <w:szCs w:val="20"/>
        </w:rPr>
        <w:t>.</w:t>
      </w:r>
    </w:p>
    <w:p w14:paraId="6AB3C066" w14:textId="74F8C3EA"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Number of Investee Companies to be targeted</w:t>
      </w:r>
      <w:r w:rsidR="00DC401C">
        <w:rPr>
          <w:rFonts w:asciiTheme="minorHAnsi" w:hAnsiTheme="minorHAnsi" w:cstheme="minorHAnsi"/>
          <w:sz w:val="20"/>
          <w:szCs w:val="20"/>
        </w:rPr>
        <w:t>.</w:t>
      </w:r>
    </w:p>
    <w:p w14:paraId="0CE8F807" w14:textId="20908D60"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Participation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in Investee Companies (majority/minority stakes)</w:t>
      </w:r>
      <w:r w:rsidR="00DC401C">
        <w:rPr>
          <w:rFonts w:asciiTheme="minorHAnsi" w:hAnsiTheme="minorHAnsi" w:cstheme="minorHAnsi"/>
          <w:sz w:val="20"/>
          <w:szCs w:val="20"/>
        </w:rPr>
        <w:t>.</w:t>
      </w:r>
    </w:p>
    <w:p w14:paraId="607FD864" w14:textId="020E0BD7"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Size (by assets) of the Investee Companies, at the time of investment.</w:t>
      </w:r>
    </w:p>
    <w:p w14:paraId="6FE8E5A2" w14:textId="161202B7" w:rsidR="00CD5A32" w:rsidRPr="00142369" w:rsidRDefault="00CD5A32"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Proposed instruments for the Fund and regulatory limits to the use of the instruments</w:t>
      </w:r>
      <w:r w:rsidR="00DC401C">
        <w:rPr>
          <w:rFonts w:asciiTheme="minorHAnsi" w:hAnsiTheme="minorHAnsi" w:cstheme="minorHAnsi"/>
          <w:sz w:val="20"/>
          <w:szCs w:val="20"/>
        </w:rPr>
        <w:t>.</w:t>
      </w:r>
    </w:p>
    <w:bookmarkEnd w:id="29"/>
    <w:p w14:paraId="7DC9B019" w14:textId="77777777" w:rsidR="00985D2B" w:rsidRPr="00142369" w:rsidRDefault="00985D2B" w:rsidP="000C2D6C">
      <w:pPr>
        <w:pStyle w:val="LightGrid-Accent31"/>
        <w:spacing w:after="200" w:line="276" w:lineRule="auto"/>
        <w:ind w:left="1800"/>
        <w:jc w:val="both"/>
        <w:rPr>
          <w:rFonts w:asciiTheme="minorHAnsi" w:hAnsiTheme="minorHAnsi" w:cstheme="minorHAnsi"/>
          <w:sz w:val="20"/>
          <w:szCs w:val="20"/>
        </w:rPr>
      </w:pPr>
    </w:p>
    <w:p w14:paraId="239D68D8" w14:textId="08A4B536" w:rsidR="00E445B8" w:rsidRPr="00142369" w:rsidRDefault="00E445B8" w:rsidP="00625D6F">
      <w:pPr>
        <w:pStyle w:val="LightGrid-Accent31"/>
        <w:numPr>
          <w:ilvl w:val="0"/>
          <w:numId w:val="2"/>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Management</w:t>
      </w:r>
    </w:p>
    <w:p w14:paraId="68CBEB40" w14:textId="06EA1734"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Duration of the </w:t>
      </w:r>
      <w:r w:rsidRPr="00142369">
        <w:rPr>
          <w:rFonts w:asciiTheme="minorHAnsi" w:hAnsiTheme="minorHAnsi" w:cstheme="minorHAnsi"/>
          <w:b/>
          <w:sz w:val="20"/>
          <w:szCs w:val="20"/>
        </w:rPr>
        <w:t>Fund</w:t>
      </w:r>
      <w:r w:rsidR="00DC401C">
        <w:rPr>
          <w:rFonts w:asciiTheme="minorHAnsi" w:hAnsiTheme="minorHAnsi" w:cstheme="minorHAnsi"/>
          <w:b/>
          <w:sz w:val="20"/>
          <w:szCs w:val="20"/>
        </w:rPr>
        <w:t>.</w:t>
      </w:r>
    </w:p>
    <w:p w14:paraId="720CECB5" w14:textId="5D88D671"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Period of investment and divestment</w:t>
      </w:r>
      <w:r w:rsidR="00DC401C">
        <w:rPr>
          <w:rFonts w:asciiTheme="minorHAnsi" w:hAnsiTheme="minorHAnsi" w:cstheme="minorHAnsi"/>
          <w:sz w:val="20"/>
          <w:szCs w:val="20"/>
        </w:rPr>
        <w:t>.</w:t>
      </w:r>
    </w:p>
    <w:p w14:paraId="74E1E29F" w14:textId="6597A1DD"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Target minimum and maximum size of the </w:t>
      </w:r>
      <w:r w:rsidRPr="00142369">
        <w:rPr>
          <w:rFonts w:asciiTheme="minorHAnsi" w:hAnsiTheme="minorHAnsi" w:cstheme="minorHAnsi"/>
          <w:b/>
          <w:sz w:val="20"/>
          <w:szCs w:val="20"/>
        </w:rPr>
        <w:t>Fund</w:t>
      </w:r>
      <w:r w:rsidR="00DC401C">
        <w:rPr>
          <w:rFonts w:asciiTheme="minorHAnsi" w:hAnsiTheme="minorHAnsi" w:cstheme="minorHAnsi"/>
          <w:b/>
          <w:sz w:val="20"/>
          <w:szCs w:val="20"/>
        </w:rPr>
        <w:t>.</w:t>
      </w:r>
    </w:p>
    <w:p w14:paraId="18BFEC2B" w14:textId="05297BF2"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Administration and performance fees</w:t>
      </w:r>
      <w:r w:rsidR="00DC401C">
        <w:rPr>
          <w:rFonts w:asciiTheme="minorHAnsi" w:hAnsiTheme="minorHAnsi" w:cstheme="minorHAnsi"/>
          <w:sz w:val="20"/>
          <w:szCs w:val="20"/>
        </w:rPr>
        <w:t>.</w:t>
      </w:r>
    </w:p>
    <w:p w14:paraId="15D3F195" w14:textId="2384B288"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Fundraising target, along with the </w:t>
      </w:r>
      <w:r w:rsidR="005D12D1" w:rsidRPr="00142369">
        <w:rPr>
          <w:rFonts w:asciiTheme="minorHAnsi" w:hAnsiTheme="minorHAnsi" w:cstheme="minorHAnsi"/>
          <w:b/>
          <w:sz w:val="20"/>
          <w:szCs w:val="20"/>
        </w:rPr>
        <w:t>Investor Panel</w:t>
      </w:r>
      <w:r w:rsidRPr="00142369">
        <w:rPr>
          <w:rFonts w:asciiTheme="minorHAnsi" w:hAnsiTheme="minorHAnsi" w:cstheme="minorHAnsi"/>
          <w:sz w:val="20"/>
          <w:szCs w:val="20"/>
        </w:rPr>
        <w:t xml:space="preserve"> and other investors</w:t>
      </w:r>
      <w:r w:rsidR="00DC401C">
        <w:rPr>
          <w:rFonts w:asciiTheme="minorHAnsi" w:hAnsiTheme="minorHAnsi" w:cstheme="minorHAnsi"/>
          <w:sz w:val="20"/>
          <w:szCs w:val="20"/>
        </w:rPr>
        <w:t>.</w:t>
      </w:r>
    </w:p>
    <w:p w14:paraId="7EE7B14C" w14:textId="34C1C70D"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Stage of fundraising of the </w:t>
      </w:r>
      <w:r w:rsidRPr="00142369">
        <w:rPr>
          <w:rFonts w:asciiTheme="minorHAnsi" w:hAnsiTheme="minorHAnsi" w:cstheme="minorHAnsi"/>
          <w:b/>
          <w:sz w:val="20"/>
          <w:szCs w:val="20"/>
        </w:rPr>
        <w:t>Fund</w:t>
      </w:r>
      <w:r w:rsidR="00DC401C">
        <w:rPr>
          <w:rFonts w:asciiTheme="minorHAnsi" w:hAnsiTheme="minorHAnsi" w:cstheme="minorHAnsi"/>
          <w:b/>
          <w:sz w:val="20"/>
          <w:szCs w:val="20"/>
        </w:rPr>
        <w:t>.</w:t>
      </w:r>
    </w:p>
    <w:p w14:paraId="1989BE74" w14:textId="77777777"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Commitment of capital of the management company of the</w:t>
      </w:r>
      <w:r w:rsidRPr="00142369">
        <w:rPr>
          <w:rFonts w:asciiTheme="minorHAnsi" w:hAnsiTheme="minorHAnsi" w:cstheme="minorHAnsi"/>
          <w:b/>
          <w:sz w:val="20"/>
          <w:szCs w:val="20"/>
        </w:rPr>
        <w:t xml:space="preserve"> Fund.</w:t>
      </w:r>
    </w:p>
    <w:p w14:paraId="545C15C5" w14:textId="056B8CD1" w:rsidR="00E445B8" w:rsidRDefault="00E445B8" w:rsidP="000C2D6C">
      <w:pPr>
        <w:pStyle w:val="LightGrid-Accent31"/>
        <w:spacing w:after="200" w:line="276" w:lineRule="auto"/>
        <w:ind w:left="3600"/>
        <w:jc w:val="both"/>
        <w:rPr>
          <w:rFonts w:asciiTheme="minorHAnsi" w:hAnsiTheme="minorHAnsi" w:cstheme="minorHAnsi"/>
          <w:sz w:val="20"/>
          <w:szCs w:val="20"/>
        </w:rPr>
      </w:pPr>
    </w:p>
    <w:p w14:paraId="0A05DC89" w14:textId="65E7BD6E" w:rsidR="00351575" w:rsidRDefault="00351575" w:rsidP="000C2D6C">
      <w:pPr>
        <w:pStyle w:val="LightGrid-Accent31"/>
        <w:spacing w:after="200" w:line="276" w:lineRule="auto"/>
        <w:ind w:left="3600"/>
        <w:jc w:val="both"/>
        <w:rPr>
          <w:rFonts w:asciiTheme="minorHAnsi" w:hAnsiTheme="minorHAnsi" w:cstheme="minorHAnsi"/>
          <w:sz w:val="20"/>
          <w:szCs w:val="20"/>
        </w:rPr>
      </w:pPr>
    </w:p>
    <w:p w14:paraId="065B15CF" w14:textId="77777777" w:rsidR="00351575" w:rsidRPr="00142369" w:rsidRDefault="00351575" w:rsidP="000C2D6C">
      <w:pPr>
        <w:pStyle w:val="LightGrid-Accent31"/>
        <w:spacing w:after="200" w:line="276" w:lineRule="auto"/>
        <w:ind w:left="3600"/>
        <w:jc w:val="both"/>
        <w:rPr>
          <w:rFonts w:asciiTheme="minorHAnsi" w:hAnsiTheme="minorHAnsi" w:cstheme="minorHAnsi"/>
          <w:sz w:val="20"/>
          <w:szCs w:val="20"/>
        </w:rPr>
      </w:pPr>
    </w:p>
    <w:p w14:paraId="6BBC1828" w14:textId="55ABEA95" w:rsidR="00E445B8" w:rsidRPr="00142369" w:rsidRDefault="00E445B8" w:rsidP="00625D6F">
      <w:pPr>
        <w:pStyle w:val="LightGrid-Accent31"/>
        <w:numPr>
          <w:ilvl w:val="0"/>
          <w:numId w:val="2"/>
        </w:numPr>
        <w:spacing w:after="200" w:line="276" w:lineRule="auto"/>
        <w:jc w:val="both"/>
        <w:rPr>
          <w:rFonts w:asciiTheme="minorHAnsi" w:hAnsiTheme="minorHAnsi" w:cstheme="minorHAnsi"/>
          <w:sz w:val="20"/>
          <w:szCs w:val="20"/>
        </w:rPr>
      </w:pPr>
      <w:r w:rsidRPr="00142369">
        <w:rPr>
          <w:rFonts w:asciiTheme="minorHAnsi" w:hAnsiTheme="minorHAnsi" w:cstheme="minorHAnsi"/>
          <w:b/>
          <w:sz w:val="20"/>
          <w:szCs w:val="20"/>
        </w:rPr>
        <w:t>Legal and Regulatory requirements</w:t>
      </w:r>
      <w:r w:rsidRPr="00142369">
        <w:rPr>
          <w:rFonts w:asciiTheme="minorHAnsi" w:hAnsiTheme="minorHAnsi" w:cstheme="minorHAnsi"/>
          <w:sz w:val="20"/>
          <w:szCs w:val="20"/>
        </w:rPr>
        <w:t xml:space="preserve"> </w:t>
      </w:r>
      <w:r w:rsidR="00257AB9" w:rsidRPr="00142369">
        <w:rPr>
          <w:rFonts w:asciiTheme="minorHAnsi" w:hAnsiTheme="minorHAnsi" w:cstheme="minorHAnsi"/>
          <w:sz w:val="20"/>
          <w:szCs w:val="20"/>
        </w:rPr>
        <w:t>(</w:t>
      </w:r>
      <w:r w:rsidR="00257AB9" w:rsidRPr="00142369">
        <w:rPr>
          <w:rFonts w:asciiTheme="minorHAnsi" w:hAnsiTheme="minorHAnsi" w:cstheme="minorHAnsi"/>
          <w:b/>
          <w:bCs/>
          <w:sz w:val="20"/>
          <w:szCs w:val="20"/>
        </w:rPr>
        <w:t xml:space="preserve">if </w:t>
      </w:r>
      <w:r w:rsidR="00AE61FF" w:rsidRPr="00142369">
        <w:rPr>
          <w:rFonts w:asciiTheme="minorHAnsi" w:hAnsiTheme="minorHAnsi" w:cstheme="minorHAnsi"/>
          <w:b/>
          <w:bCs/>
          <w:sz w:val="20"/>
          <w:szCs w:val="20"/>
        </w:rPr>
        <w:t xml:space="preserve">the Fund Manager is already established and if </w:t>
      </w:r>
      <w:r w:rsidR="00257AB9" w:rsidRPr="00142369">
        <w:rPr>
          <w:rFonts w:asciiTheme="minorHAnsi" w:hAnsiTheme="minorHAnsi" w:cstheme="minorHAnsi"/>
          <w:b/>
          <w:bCs/>
          <w:sz w:val="20"/>
          <w:szCs w:val="20"/>
        </w:rPr>
        <w:t>currently available)</w:t>
      </w:r>
    </w:p>
    <w:p w14:paraId="29F79E75" w14:textId="08FE07AE"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Proof of incorporation of the Applicant and copy Articles of Incorporation</w:t>
      </w:r>
      <w:r w:rsidR="00DC401C">
        <w:rPr>
          <w:rFonts w:asciiTheme="minorHAnsi" w:hAnsiTheme="minorHAnsi" w:cstheme="minorHAnsi"/>
          <w:sz w:val="20"/>
          <w:szCs w:val="20"/>
        </w:rPr>
        <w:t>.</w:t>
      </w:r>
    </w:p>
    <w:p w14:paraId="1B86C5F3" w14:textId="2BFF3BBF" w:rsidR="00E445B8" w:rsidRPr="00142369"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Proof of accreditation of the </w:t>
      </w:r>
      <w:r w:rsidRPr="00142369">
        <w:rPr>
          <w:rFonts w:asciiTheme="minorHAnsi" w:hAnsiTheme="minorHAnsi" w:cstheme="minorHAnsi"/>
          <w:b/>
          <w:sz w:val="20"/>
          <w:szCs w:val="20"/>
        </w:rPr>
        <w:t xml:space="preserve">Applicant </w:t>
      </w:r>
      <w:r w:rsidRPr="00142369">
        <w:rPr>
          <w:rFonts w:asciiTheme="minorHAnsi" w:hAnsiTheme="minorHAnsi" w:cstheme="minorHAnsi"/>
          <w:sz w:val="20"/>
          <w:szCs w:val="20"/>
        </w:rPr>
        <w:t xml:space="preserve">and of the relevant members of </w:t>
      </w:r>
      <w:r w:rsidR="00A26281" w:rsidRPr="00142369">
        <w:rPr>
          <w:rFonts w:asciiTheme="minorHAnsi" w:hAnsiTheme="minorHAnsi" w:cstheme="minorHAnsi"/>
          <w:sz w:val="20"/>
          <w:szCs w:val="20"/>
        </w:rPr>
        <w:t xml:space="preserve">the </w:t>
      </w:r>
      <w:r w:rsidRPr="00142369">
        <w:rPr>
          <w:rFonts w:asciiTheme="minorHAnsi" w:hAnsiTheme="minorHAnsi" w:cstheme="minorHAnsi"/>
          <w:sz w:val="20"/>
          <w:szCs w:val="20"/>
        </w:rPr>
        <w:t xml:space="preserve">management team for the </w:t>
      </w:r>
      <w:r w:rsidRPr="00142369">
        <w:rPr>
          <w:rFonts w:asciiTheme="minorHAnsi" w:hAnsiTheme="minorHAnsi" w:cstheme="minorHAnsi"/>
          <w:b/>
          <w:sz w:val="20"/>
          <w:szCs w:val="20"/>
        </w:rPr>
        <w:t xml:space="preserve">Fund </w:t>
      </w:r>
      <w:r w:rsidRPr="00142369">
        <w:rPr>
          <w:rFonts w:asciiTheme="minorHAnsi" w:hAnsiTheme="minorHAnsi" w:cstheme="minorHAnsi"/>
          <w:sz w:val="20"/>
          <w:szCs w:val="20"/>
        </w:rPr>
        <w:t>in keeping with FSC requirements; or</w:t>
      </w:r>
    </w:p>
    <w:p w14:paraId="1C64ADC8" w14:textId="166C29F7" w:rsidR="00E445B8" w:rsidRDefault="00E445B8" w:rsidP="00625D6F">
      <w:pPr>
        <w:pStyle w:val="LightGrid-Accent31"/>
        <w:numPr>
          <w:ilvl w:val="2"/>
          <w:numId w:val="2"/>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 Proof of submission of application for accreditation to the FSC, if applicable.</w:t>
      </w:r>
    </w:p>
    <w:p w14:paraId="4E929769" w14:textId="77777777" w:rsidR="00525E8A" w:rsidRPr="00142369" w:rsidRDefault="00525E8A" w:rsidP="00525E8A">
      <w:pPr>
        <w:pStyle w:val="LightGrid-Accent31"/>
        <w:spacing w:after="200" w:line="276" w:lineRule="auto"/>
        <w:ind w:left="1800"/>
        <w:jc w:val="both"/>
        <w:rPr>
          <w:rFonts w:asciiTheme="minorHAnsi" w:hAnsiTheme="minorHAnsi" w:cstheme="minorHAnsi"/>
          <w:sz w:val="20"/>
          <w:szCs w:val="20"/>
        </w:rPr>
      </w:pPr>
    </w:p>
    <w:p w14:paraId="668BB08F" w14:textId="18ACC83F" w:rsidR="00E445B8" w:rsidRPr="00142369" w:rsidRDefault="00E445B8" w:rsidP="00525E8A">
      <w:pPr>
        <w:pStyle w:val="Heading2"/>
        <w:numPr>
          <w:ilvl w:val="1"/>
          <w:numId w:val="1"/>
        </w:numPr>
        <w:spacing w:line="276" w:lineRule="auto"/>
        <w:jc w:val="both"/>
        <w:rPr>
          <w:rFonts w:asciiTheme="minorHAnsi" w:hAnsiTheme="minorHAnsi" w:cstheme="minorHAnsi"/>
          <w:sz w:val="20"/>
          <w:szCs w:val="20"/>
        </w:rPr>
      </w:pPr>
      <w:bookmarkStart w:id="30" w:name="_Toc392698185"/>
      <w:bookmarkStart w:id="31" w:name="_Toc429390665"/>
      <w:bookmarkStart w:id="32" w:name="_Toc31010188"/>
      <w:r w:rsidRPr="00142369">
        <w:rPr>
          <w:rFonts w:asciiTheme="minorHAnsi" w:hAnsiTheme="minorHAnsi" w:cstheme="minorHAnsi"/>
          <w:sz w:val="20"/>
          <w:szCs w:val="20"/>
        </w:rPr>
        <w:t xml:space="preserve">Detailed Information Required for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’s Analysis of the Proposal</w:t>
      </w:r>
      <w:bookmarkEnd w:id="30"/>
      <w:bookmarkEnd w:id="31"/>
      <w:bookmarkEnd w:id="32"/>
    </w:p>
    <w:p w14:paraId="180156E3" w14:textId="77777777" w:rsidR="00E445B8" w:rsidRPr="00142369" w:rsidRDefault="00E445B8" w:rsidP="00525E8A">
      <w:pPr>
        <w:pStyle w:val="LightGrid-Accent31"/>
        <w:spacing w:after="200" w:line="276" w:lineRule="auto"/>
        <w:jc w:val="both"/>
        <w:rPr>
          <w:rFonts w:asciiTheme="minorHAnsi" w:hAnsiTheme="minorHAnsi" w:cstheme="minorHAnsi"/>
          <w:sz w:val="20"/>
          <w:szCs w:val="20"/>
        </w:rPr>
      </w:pPr>
    </w:p>
    <w:p w14:paraId="066EFC63" w14:textId="77777777" w:rsidR="00E445B8" w:rsidRPr="00142369" w:rsidRDefault="00E445B8" w:rsidP="00625D6F">
      <w:pPr>
        <w:pStyle w:val="LightGrid-Accent31"/>
        <w:numPr>
          <w:ilvl w:val="0"/>
          <w:numId w:val="3"/>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Company and Management Team</w:t>
      </w:r>
    </w:p>
    <w:p w14:paraId="6AD52519" w14:textId="77777777" w:rsidR="00E445B8" w:rsidRPr="00142369" w:rsidRDefault="00E445B8" w:rsidP="00525E8A">
      <w:pPr>
        <w:pStyle w:val="LightGrid-Accent31"/>
        <w:spacing w:after="200" w:line="276" w:lineRule="auto"/>
        <w:ind w:left="1854"/>
        <w:jc w:val="both"/>
        <w:rPr>
          <w:rFonts w:asciiTheme="minorHAnsi" w:hAnsiTheme="minorHAnsi" w:cstheme="minorHAnsi"/>
          <w:sz w:val="20"/>
          <w:szCs w:val="20"/>
        </w:rPr>
      </w:pPr>
    </w:p>
    <w:p w14:paraId="0DFD26B2" w14:textId="660DC42E" w:rsidR="00E445B8" w:rsidRPr="00142369" w:rsidRDefault="00E445B8" w:rsidP="00625D6F">
      <w:pPr>
        <w:pStyle w:val="LightGrid-Accent31"/>
        <w:numPr>
          <w:ilvl w:val="0"/>
          <w:numId w:val="4"/>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Management Company – shareholding structure, history of operations, governing </w:t>
      </w:r>
      <w:r w:rsidR="00DC401C" w:rsidRPr="00142369">
        <w:rPr>
          <w:rFonts w:asciiTheme="minorHAnsi" w:hAnsiTheme="minorHAnsi" w:cstheme="minorHAnsi"/>
          <w:sz w:val="20"/>
          <w:szCs w:val="20"/>
        </w:rPr>
        <w:t>instrument,</w:t>
      </w:r>
      <w:r w:rsidRPr="00142369">
        <w:rPr>
          <w:rFonts w:asciiTheme="minorHAnsi" w:hAnsiTheme="minorHAnsi" w:cstheme="minorHAnsi"/>
          <w:sz w:val="20"/>
          <w:szCs w:val="20"/>
        </w:rPr>
        <w:t xml:space="preserve"> and assets under management</w:t>
      </w:r>
      <w:r w:rsidR="00DC401C">
        <w:rPr>
          <w:rFonts w:asciiTheme="minorHAnsi" w:hAnsiTheme="minorHAnsi" w:cstheme="minorHAnsi"/>
          <w:sz w:val="20"/>
          <w:szCs w:val="20"/>
        </w:rPr>
        <w:t>.</w:t>
      </w:r>
    </w:p>
    <w:p w14:paraId="43C242D2" w14:textId="392C0BE0" w:rsidR="00E445B8" w:rsidRPr="00142369" w:rsidRDefault="00E445B8" w:rsidP="00625D6F">
      <w:pPr>
        <w:pStyle w:val="LightGrid-Accent31"/>
        <w:numPr>
          <w:ilvl w:val="0"/>
          <w:numId w:val="4"/>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Administration </w:t>
      </w:r>
      <w:r w:rsidR="002C5212">
        <w:rPr>
          <w:rFonts w:asciiTheme="minorHAnsi" w:hAnsiTheme="minorHAnsi" w:cstheme="minorHAnsi"/>
          <w:sz w:val="20"/>
          <w:szCs w:val="20"/>
        </w:rPr>
        <w:t>C</w:t>
      </w:r>
      <w:r w:rsidRPr="00142369">
        <w:rPr>
          <w:rFonts w:asciiTheme="minorHAnsi" w:hAnsiTheme="minorHAnsi" w:cstheme="minorHAnsi"/>
          <w:sz w:val="20"/>
          <w:szCs w:val="20"/>
        </w:rPr>
        <w:t>ompany - shareholding structure, history of operations, and assets under administration</w:t>
      </w:r>
      <w:r w:rsidR="00DC401C">
        <w:rPr>
          <w:rFonts w:asciiTheme="minorHAnsi" w:hAnsiTheme="minorHAnsi" w:cstheme="minorHAnsi"/>
          <w:sz w:val="20"/>
          <w:szCs w:val="20"/>
        </w:rPr>
        <w:t>.</w:t>
      </w:r>
    </w:p>
    <w:p w14:paraId="0E8A490F" w14:textId="69D0712E" w:rsidR="00E445B8" w:rsidRPr="00142369" w:rsidRDefault="00E445B8" w:rsidP="00625D6F">
      <w:pPr>
        <w:pStyle w:val="LightGrid-Accent31"/>
        <w:numPr>
          <w:ilvl w:val="0"/>
          <w:numId w:val="4"/>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 </w:t>
      </w:r>
      <w:r w:rsidR="00A26281" w:rsidRPr="00142369">
        <w:rPr>
          <w:rFonts w:asciiTheme="minorHAnsi" w:hAnsiTheme="minorHAnsi" w:cstheme="minorHAnsi"/>
          <w:sz w:val="20"/>
          <w:szCs w:val="20"/>
        </w:rPr>
        <w:t xml:space="preserve">The person </w:t>
      </w:r>
      <w:r w:rsidRPr="00142369">
        <w:rPr>
          <w:rFonts w:asciiTheme="minorHAnsi" w:hAnsiTheme="minorHAnsi" w:cstheme="minorHAnsi"/>
          <w:sz w:val="20"/>
          <w:szCs w:val="20"/>
        </w:rPr>
        <w:t>responsible for the management of the</w:t>
      </w:r>
      <w:r w:rsidRPr="00142369">
        <w:rPr>
          <w:rFonts w:asciiTheme="minorHAnsi" w:hAnsiTheme="minorHAnsi" w:cstheme="minorHAnsi"/>
          <w:b/>
          <w:sz w:val="20"/>
          <w:szCs w:val="20"/>
        </w:rPr>
        <w:t xml:space="preserve"> Fund</w:t>
      </w:r>
      <w:r w:rsidRPr="00142369">
        <w:rPr>
          <w:rFonts w:asciiTheme="minorHAnsi" w:hAnsiTheme="minorHAnsi" w:cstheme="minorHAnsi"/>
          <w:sz w:val="20"/>
          <w:szCs w:val="20"/>
        </w:rPr>
        <w:t xml:space="preserve"> – including Curriculum Vitae (CV), history of operations, personal references with name, address, telephone number and email contact information</w:t>
      </w:r>
      <w:r w:rsidR="00DC401C">
        <w:rPr>
          <w:rFonts w:asciiTheme="minorHAnsi" w:hAnsiTheme="minorHAnsi" w:cstheme="minorHAnsi"/>
          <w:sz w:val="20"/>
          <w:szCs w:val="20"/>
        </w:rPr>
        <w:t>.</w:t>
      </w:r>
    </w:p>
    <w:p w14:paraId="6A2184F6" w14:textId="7EC33E82" w:rsidR="00E445B8" w:rsidRPr="00142369" w:rsidRDefault="00E445B8" w:rsidP="00625D6F">
      <w:pPr>
        <w:pStyle w:val="LightGrid-Accent31"/>
        <w:numPr>
          <w:ilvl w:val="0"/>
          <w:numId w:val="4"/>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Fund </w:t>
      </w:r>
      <w:r w:rsidR="002C5212">
        <w:rPr>
          <w:rFonts w:asciiTheme="minorHAnsi" w:hAnsiTheme="minorHAnsi" w:cstheme="minorHAnsi"/>
          <w:sz w:val="20"/>
          <w:szCs w:val="20"/>
        </w:rPr>
        <w:t>M</w:t>
      </w:r>
      <w:r w:rsidRPr="00142369">
        <w:rPr>
          <w:rFonts w:asciiTheme="minorHAnsi" w:hAnsiTheme="minorHAnsi" w:cstheme="minorHAnsi"/>
          <w:sz w:val="20"/>
          <w:szCs w:val="20"/>
        </w:rPr>
        <w:t xml:space="preserve">anagement </w:t>
      </w:r>
      <w:r w:rsidR="002C5212">
        <w:rPr>
          <w:rFonts w:asciiTheme="minorHAnsi" w:hAnsiTheme="minorHAnsi" w:cstheme="minorHAnsi"/>
          <w:sz w:val="20"/>
          <w:szCs w:val="20"/>
        </w:rPr>
        <w:t>T</w:t>
      </w:r>
      <w:r w:rsidRPr="00142369">
        <w:rPr>
          <w:rFonts w:asciiTheme="minorHAnsi" w:hAnsiTheme="minorHAnsi" w:cstheme="minorHAnsi"/>
          <w:sz w:val="20"/>
          <w:szCs w:val="20"/>
        </w:rPr>
        <w:t xml:space="preserve">eam – CV and personal references of each person with </w:t>
      </w:r>
      <w:r w:rsidR="00A26281" w:rsidRPr="00142369">
        <w:rPr>
          <w:rFonts w:asciiTheme="minorHAnsi" w:hAnsiTheme="minorHAnsi" w:cstheme="minorHAnsi"/>
          <w:sz w:val="20"/>
          <w:szCs w:val="20"/>
        </w:rPr>
        <w:t xml:space="preserve">a </w:t>
      </w:r>
      <w:r w:rsidRPr="00142369">
        <w:rPr>
          <w:rFonts w:asciiTheme="minorHAnsi" w:hAnsiTheme="minorHAnsi" w:cstheme="minorHAnsi"/>
          <w:sz w:val="20"/>
          <w:szCs w:val="20"/>
        </w:rPr>
        <w:t xml:space="preserve">name, address, telephone number and email contact information, role in the management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as well as the respective time that will be dedicated by each team member.</w:t>
      </w:r>
    </w:p>
    <w:p w14:paraId="65DBFA2D" w14:textId="0100CAAE" w:rsidR="00EA01B3" w:rsidRPr="00142369" w:rsidRDefault="00EA01B3" w:rsidP="00625D6F">
      <w:pPr>
        <w:pStyle w:val="LightGrid-Accent31"/>
        <w:numPr>
          <w:ilvl w:val="0"/>
          <w:numId w:val="4"/>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Experience/Track Record </w:t>
      </w:r>
      <w:r w:rsidRPr="00142369">
        <w:rPr>
          <w:rFonts w:asciiTheme="minorHAnsi" w:hAnsiTheme="minorHAnsi" w:cstheme="minorHAnsi"/>
          <w:sz w:val="20"/>
          <w:szCs w:val="20"/>
          <w:lang w:val="en-JM"/>
        </w:rPr>
        <w:t>of investments into SMEs</w:t>
      </w:r>
      <w:r w:rsidR="00525E8A">
        <w:rPr>
          <w:rFonts w:asciiTheme="minorHAnsi" w:hAnsiTheme="minorHAnsi" w:cstheme="minorHAnsi"/>
          <w:sz w:val="20"/>
          <w:szCs w:val="20"/>
          <w:lang w:val="en-JM"/>
        </w:rPr>
        <w:t xml:space="preserve">. </w:t>
      </w:r>
      <w:r w:rsidR="00A26281" w:rsidRPr="00142369">
        <w:rPr>
          <w:rFonts w:asciiTheme="minorHAnsi" w:hAnsiTheme="minorHAnsi" w:cstheme="minorHAnsi"/>
          <w:sz w:val="20"/>
          <w:szCs w:val="20"/>
          <w:lang w:val="en-JM"/>
        </w:rPr>
        <w:t xml:space="preserve">The full </w:t>
      </w:r>
      <w:r w:rsidRPr="00142369">
        <w:rPr>
          <w:rFonts w:asciiTheme="minorHAnsi" w:hAnsiTheme="minorHAnsi" w:cstheme="minorHAnsi"/>
          <w:sz w:val="20"/>
          <w:szCs w:val="20"/>
          <w:lang w:val="en-JM"/>
        </w:rPr>
        <w:t xml:space="preserve">deal sheet of all deals </w:t>
      </w:r>
      <w:r w:rsidR="00D004AD" w:rsidRPr="00142369">
        <w:rPr>
          <w:rFonts w:asciiTheme="minorHAnsi" w:hAnsiTheme="minorHAnsi" w:cstheme="minorHAnsi"/>
          <w:sz w:val="20"/>
          <w:szCs w:val="20"/>
          <w:lang w:val="en-JM"/>
        </w:rPr>
        <w:t>done, all</w:t>
      </w:r>
      <w:r w:rsidRPr="00142369">
        <w:rPr>
          <w:rFonts w:asciiTheme="minorHAnsi" w:hAnsiTheme="minorHAnsi" w:cstheme="minorHAnsi"/>
          <w:sz w:val="20"/>
          <w:szCs w:val="20"/>
          <w:lang w:val="en-JM"/>
        </w:rPr>
        <w:t xml:space="preserve"> deals that fit the SME parameters</w:t>
      </w:r>
      <w:r w:rsidR="00DF68FA">
        <w:rPr>
          <w:rFonts w:asciiTheme="minorHAnsi" w:hAnsiTheme="minorHAnsi" w:cstheme="minorHAnsi"/>
          <w:sz w:val="20"/>
          <w:szCs w:val="20"/>
          <w:lang w:val="en-JM"/>
        </w:rPr>
        <w:t>,</w:t>
      </w:r>
      <w:r w:rsidRPr="00142369">
        <w:rPr>
          <w:rFonts w:asciiTheme="minorHAnsi" w:hAnsiTheme="minorHAnsi" w:cstheme="minorHAnsi"/>
          <w:sz w:val="20"/>
          <w:szCs w:val="20"/>
          <w:lang w:val="en-JM"/>
        </w:rPr>
        <w:t xml:space="preserve"> and exits achieved</w:t>
      </w:r>
      <w:r w:rsidR="00DE6DDC" w:rsidRPr="00142369">
        <w:rPr>
          <w:rFonts w:asciiTheme="minorHAnsi" w:hAnsiTheme="minorHAnsi" w:cstheme="minorHAnsi"/>
          <w:sz w:val="20"/>
          <w:szCs w:val="20"/>
          <w:lang w:val="en-JM"/>
        </w:rPr>
        <w:t>.</w:t>
      </w:r>
    </w:p>
    <w:p w14:paraId="1BCEF816" w14:textId="697CBC82" w:rsidR="002522D3" w:rsidRPr="00142369" w:rsidRDefault="002522D3" w:rsidP="00625D6F">
      <w:pPr>
        <w:pStyle w:val="LightGrid-Accent31"/>
        <w:numPr>
          <w:ilvl w:val="0"/>
          <w:numId w:val="4"/>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lang w:val="en-JM"/>
        </w:rPr>
        <w:t>Experience/Track Record in Fundraising and using self-liquidating investment structures.</w:t>
      </w:r>
    </w:p>
    <w:p w14:paraId="577DC3CB" w14:textId="513F7020" w:rsidR="00DE6DDC" w:rsidRPr="00142369" w:rsidRDefault="00DE6DDC" w:rsidP="00625D6F">
      <w:pPr>
        <w:pStyle w:val="LightGrid-Accent31"/>
        <w:numPr>
          <w:ilvl w:val="0"/>
          <w:numId w:val="4"/>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lang w:val="en-JM"/>
        </w:rPr>
        <w:t>Experience/Track Record in using Technical Assistance (TA) and managing a TA facility in parallel to a Fund.</w:t>
      </w:r>
    </w:p>
    <w:p w14:paraId="09BD6128" w14:textId="510B23A8" w:rsidR="000737F0" w:rsidRPr="00525E8A" w:rsidRDefault="000737F0" w:rsidP="00625D6F">
      <w:pPr>
        <w:pStyle w:val="LightGrid-Accent31"/>
        <w:numPr>
          <w:ilvl w:val="0"/>
          <w:numId w:val="4"/>
        </w:numPr>
        <w:spacing w:after="200" w:line="276" w:lineRule="auto"/>
        <w:ind w:left="1800"/>
        <w:jc w:val="both"/>
        <w:rPr>
          <w:rFonts w:asciiTheme="minorHAnsi" w:hAnsiTheme="minorHAnsi" w:cstheme="minorHAnsi"/>
          <w:sz w:val="20"/>
          <w:szCs w:val="20"/>
        </w:rPr>
      </w:pPr>
      <w:r w:rsidRPr="00525E8A">
        <w:rPr>
          <w:rFonts w:asciiTheme="minorHAnsi" w:hAnsiTheme="minorHAnsi" w:cstheme="minorHAnsi"/>
          <w:sz w:val="20"/>
          <w:szCs w:val="20"/>
        </w:rPr>
        <w:t xml:space="preserve">Signed acceptance, to be incorporated in any resulting contracts, confirming </w:t>
      </w:r>
      <w:r w:rsidR="00A26281" w:rsidRPr="00525E8A">
        <w:rPr>
          <w:rFonts w:asciiTheme="minorHAnsi" w:hAnsiTheme="minorHAnsi" w:cstheme="minorHAnsi"/>
          <w:sz w:val="20"/>
          <w:szCs w:val="20"/>
        </w:rPr>
        <w:t xml:space="preserve">the </w:t>
      </w:r>
      <w:r w:rsidRPr="00525E8A">
        <w:rPr>
          <w:rFonts w:asciiTheme="minorHAnsi" w:hAnsiTheme="minorHAnsi" w:cstheme="minorHAnsi"/>
          <w:sz w:val="20"/>
          <w:szCs w:val="20"/>
        </w:rPr>
        <w:t xml:space="preserve">application of, and compliance with, the </w:t>
      </w:r>
      <w:r w:rsidR="00F470F6" w:rsidRPr="00525E8A">
        <w:rPr>
          <w:rFonts w:asciiTheme="minorHAnsi" w:hAnsiTheme="minorHAnsi" w:cstheme="minorHAnsi"/>
          <w:sz w:val="20"/>
          <w:szCs w:val="20"/>
        </w:rPr>
        <w:t>DBJ’s</w:t>
      </w:r>
      <w:r w:rsidRPr="00525E8A">
        <w:rPr>
          <w:rFonts w:asciiTheme="minorHAnsi" w:hAnsiTheme="minorHAnsi" w:cstheme="minorHAnsi"/>
          <w:sz w:val="20"/>
          <w:szCs w:val="20"/>
        </w:rPr>
        <w:t xml:space="preserve"> Anti-Corruption Guidelines, including without limitation the </w:t>
      </w:r>
      <w:r w:rsidR="00F470F6" w:rsidRPr="00525E8A">
        <w:rPr>
          <w:rFonts w:asciiTheme="minorHAnsi" w:hAnsiTheme="minorHAnsi" w:cstheme="minorHAnsi"/>
          <w:sz w:val="20"/>
          <w:szCs w:val="20"/>
        </w:rPr>
        <w:t>DBJ’s</w:t>
      </w:r>
      <w:r w:rsidRPr="00525E8A">
        <w:rPr>
          <w:rFonts w:asciiTheme="minorHAnsi" w:hAnsiTheme="minorHAnsi" w:cstheme="minorHAnsi"/>
          <w:sz w:val="20"/>
          <w:szCs w:val="20"/>
        </w:rPr>
        <w:t xml:space="preserve"> right to sanction and the Bank’s inspection and audit rights.</w:t>
      </w:r>
    </w:p>
    <w:p w14:paraId="597CCACD" w14:textId="77777777" w:rsidR="008B7C34" w:rsidRPr="00142369" w:rsidRDefault="008B7C34" w:rsidP="00525E8A">
      <w:pPr>
        <w:pStyle w:val="LightGrid-Accent31"/>
        <w:spacing w:after="200" w:line="276" w:lineRule="auto"/>
        <w:ind w:left="1800"/>
        <w:jc w:val="both"/>
        <w:rPr>
          <w:rFonts w:asciiTheme="minorHAnsi" w:hAnsiTheme="minorHAnsi" w:cstheme="minorHAnsi"/>
          <w:sz w:val="20"/>
          <w:szCs w:val="20"/>
        </w:rPr>
      </w:pPr>
    </w:p>
    <w:p w14:paraId="22F6BA45" w14:textId="77777777" w:rsidR="00E445B8" w:rsidRPr="00142369" w:rsidRDefault="00E445B8" w:rsidP="00625D6F">
      <w:pPr>
        <w:pStyle w:val="LightGrid-Accent31"/>
        <w:numPr>
          <w:ilvl w:val="0"/>
          <w:numId w:val="3"/>
        </w:numPr>
        <w:spacing w:after="200" w:line="276" w:lineRule="auto"/>
        <w:jc w:val="both"/>
        <w:rPr>
          <w:rFonts w:asciiTheme="minorHAnsi" w:hAnsiTheme="minorHAnsi" w:cstheme="minorHAnsi"/>
          <w:b/>
          <w:sz w:val="20"/>
          <w:szCs w:val="20"/>
        </w:rPr>
      </w:pPr>
      <w:bookmarkStart w:id="33" w:name="_Hlk30754214"/>
      <w:r w:rsidRPr="00142369">
        <w:rPr>
          <w:rFonts w:asciiTheme="minorHAnsi" w:hAnsiTheme="minorHAnsi" w:cstheme="minorHAnsi"/>
          <w:b/>
          <w:sz w:val="20"/>
          <w:szCs w:val="20"/>
        </w:rPr>
        <w:t>Fund Details – General:</w:t>
      </w:r>
    </w:p>
    <w:p w14:paraId="40BB3E83" w14:textId="3363D001" w:rsidR="00E445B8" w:rsidRPr="00142369" w:rsidRDefault="00E445B8" w:rsidP="00625D6F">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Total value projected for the </w:t>
      </w:r>
      <w:r w:rsidRPr="00142369">
        <w:rPr>
          <w:rFonts w:asciiTheme="minorHAnsi" w:hAnsiTheme="minorHAnsi" w:cstheme="minorHAnsi"/>
          <w:b/>
          <w:sz w:val="20"/>
          <w:szCs w:val="20"/>
        </w:rPr>
        <w:t>Fund</w:t>
      </w:r>
      <w:r w:rsidRPr="00142369">
        <w:rPr>
          <w:rFonts w:asciiTheme="minorHAnsi" w:hAnsiTheme="minorHAnsi" w:cstheme="minorHAnsi"/>
          <w:sz w:val="20"/>
          <w:szCs w:val="20"/>
        </w:rPr>
        <w:t>, duly supported by the investment thesis</w:t>
      </w:r>
      <w:r w:rsidR="00DF68FA">
        <w:rPr>
          <w:rFonts w:asciiTheme="minorHAnsi" w:hAnsiTheme="minorHAnsi" w:cstheme="minorHAnsi"/>
          <w:sz w:val="20"/>
          <w:szCs w:val="20"/>
        </w:rPr>
        <w:t>.</w:t>
      </w:r>
    </w:p>
    <w:p w14:paraId="6A59F48A" w14:textId="172F8664" w:rsidR="00E445B8" w:rsidRPr="00142369" w:rsidRDefault="00E445B8" w:rsidP="00625D6F">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Duration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detailing the investment cycle (periods of investment and divestment)</w:t>
      </w:r>
      <w:r w:rsidR="00DF68FA">
        <w:rPr>
          <w:rFonts w:asciiTheme="minorHAnsi" w:hAnsiTheme="minorHAnsi" w:cstheme="minorHAnsi"/>
          <w:sz w:val="20"/>
          <w:szCs w:val="20"/>
        </w:rPr>
        <w:t>.</w:t>
      </w:r>
    </w:p>
    <w:p w14:paraId="180740E1" w14:textId="15435D82" w:rsidR="00E445B8" w:rsidRPr="00142369" w:rsidRDefault="00E445B8" w:rsidP="00625D6F">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Details of management team retention policy, including the distribution rate for performance fees between the Management Company and members of the team</w:t>
      </w:r>
      <w:r w:rsidR="00DF68FA">
        <w:rPr>
          <w:rFonts w:asciiTheme="minorHAnsi" w:hAnsiTheme="minorHAnsi" w:cstheme="minorHAnsi"/>
          <w:sz w:val="20"/>
          <w:szCs w:val="20"/>
        </w:rPr>
        <w:t>.</w:t>
      </w:r>
    </w:p>
    <w:p w14:paraId="5B575F2D" w14:textId="5466FA06" w:rsidR="001D7240" w:rsidRPr="00142369" w:rsidRDefault="001D7240" w:rsidP="00625D6F">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lang w:val="en-JM"/>
        </w:rPr>
        <w:t>Proposed strategies in using different investment structures</w:t>
      </w:r>
      <w:r w:rsidR="00C76F7C" w:rsidRPr="00142369">
        <w:rPr>
          <w:rFonts w:asciiTheme="minorHAnsi" w:hAnsiTheme="minorHAnsi" w:cstheme="minorHAnsi"/>
          <w:sz w:val="20"/>
          <w:szCs w:val="20"/>
          <w:lang w:val="en-JM"/>
        </w:rPr>
        <w:t xml:space="preserve"> and the associated regulatory limits applicable</w:t>
      </w:r>
      <w:r w:rsidRPr="00142369">
        <w:rPr>
          <w:rFonts w:asciiTheme="minorHAnsi" w:hAnsiTheme="minorHAnsi" w:cstheme="minorHAnsi"/>
          <w:sz w:val="20"/>
          <w:szCs w:val="20"/>
          <w:lang w:val="en-JM"/>
        </w:rPr>
        <w:t>. Example,</w:t>
      </w:r>
      <w:r w:rsidRPr="00142369">
        <w:rPr>
          <w:rFonts w:asciiTheme="minorHAnsi" w:eastAsiaTheme="minorHAnsi" w:hAnsiTheme="minorHAnsi" w:cstheme="minorHAnsi"/>
          <w:sz w:val="20"/>
          <w:szCs w:val="20"/>
          <w:lang w:val="en-JM"/>
        </w:rPr>
        <w:t xml:space="preserve"> </w:t>
      </w:r>
      <w:r w:rsidRPr="00142369">
        <w:rPr>
          <w:rFonts w:asciiTheme="minorHAnsi" w:hAnsiTheme="minorHAnsi" w:cstheme="minorHAnsi"/>
          <w:sz w:val="20"/>
          <w:szCs w:val="20"/>
          <w:lang w:val="en-JM"/>
        </w:rPr>
        <w:t>self-liquidating investment structures</w:t>
      </w:r>
      <w:r w:rsidR="00DF68FA">
        <w:rPr>
          <w:rFonts w:asciiTheme="minorHAnsi" w:hAnsiTheme="minorHAnsi" w:cstheme="minorHAnsi"/>
          <w:sz w:val="20"/>
          <w:szCs w:val="20"/>
          <w:lang w:val="en-JM"/>
        </w:rPr>
        <w:t>.</w:t>
      </w:r>
    </w:p>
    <w:p w14:paraId="6950BD0B" w14:textId="0D92A20F" w:rsidR="00E445B8" w:rsidRPr="00142369" w:rsidRDefault="00E445B8" w:rsidP="00625D6F">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Strategies for exiting investments</w:t>
      </w:r>
      <w:r w:rsidR="00DF68FA">
        <w:rPr>
          <w:rFonts w:asciiTheme="minorHAnsi" w:hAnsiTheme="minorHAnsi" w:cstheme="minorHAnsi"/>
          <w:sz w:val="20"/>
          <w:szCs w:val="20"/>
        </w:rPr>
        <w:t>.</w:t>
      </w:r>
    </w:p>
    <w:p w14:paraId="59714FDF" w14:textId="4D5FBFD0" w:rsidR="00E445B8" w:rsidRPr="00142369" w:rsidRDefault="00E445B8" w:rsidP="00625D6F">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Fundraising along with other investors, including profile, and status of negotiations</w:t>
      </w:r>
      <w:r w:rsidR="00DF68FA">
        <w:rPr>
          <w:rFonts w:asciiTheme="minorHAnsi" w:hAnsiTheme="minorHAnsi" w:cstheme="minorHAnsi"/>
          <w:sz w:val="20"/>
          <w:szCs w:val="20"/>
        </w:rPr>
        <w:t>.</w:t>
      </w:r>
    </w:p>
    <w:p w14:paraId="6B120808" w14:textId="6D4E6866" w:rsidR="00E445B8" w:rsidRPr="00142369" w:rsidRDefault="00A26281" w:rsidP="00625D6F">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investment </w:t>
      </w:r>
      <w:r w:rsidR="00E445B8" w:rsidRPr="00142369">
        <w:rPr>
          <w:rFonts w:asciiTheme="minorHAnsi" w:hAnsiTheme="minorHAnsi" w:cstheme="minorHAnsi"/>
          <w:sz w:val="20"/>
          <w:szCs w:val="20"/>
        </w:rPr>
        <w:t xml:space="preserve">strategy for the </w:t>
      </w:r>
      <w:r w:rsidR="00E445B8" w:rsidRPr="00142369">
        <w:rPr>
          <w:rFonts w:asciiTheme="minorHAnsi" w:hAnsiTheme="minorHAnsi" w:cstheme="minorHAnsi"/>
          <w:b/>
          <w:sz w:val="20"/>
          <w:szCs w:val="20"/>
        </w:rPr>
        <w:t>F</w:t>
      </w:r>
      <w:r w:rsidR="00E445B8" w:rsidRPr="00142369">
        <w:rPr>
          <w:rFonts w:asciiTheme="minorHAnsi" w:hAnsiTheme="minorHAnsi" w:cstheme="minorHAnsi"/>
          <w:sz w:val="20"/>
          <w:szCs w:val="20"/>
        </w:rPr>
        <w:t>und– target industry and sector, size and profile of the Investee Companies and the projected size of the investments</w:t>
      </w:r>
      <w:r w:rsidR="00DF68FA">
        <w:rPr>
          <w:rFonts w:asciiTheme="minorHAnsi" w:hAnsiTheme="minorHAnsi" w:cstheme="minorHAnsi"/>
          <w:sz w:val="20"/>
          <w:szCs w:val="20"/>
        </w:rPr>
        <w:t>.</w:t>
      </w:r>
    </w:p>
    <w:p w14:paraId="2DCB1BEF" w14:textId="74080916" w:rsidR="00E445B8" w:rsidRPr="00142369" w:rsidRDefault="00E445B8" w:rsidP="00625D6F">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Analysis of the investment target market, substantiated by research and citing sources, where applicable</w:t>
      </w:r>
      <w:r w:rsidR="00DF68FA">
        <w:rPr>
          <w:rFonts w:asciiTheme="minorHAnsi" w:hAnsiTheme="minorHAnsi" w:cstheme="minorHAnsi"/>
          <w:sz w:val="20"/>
          <w:szCs w:val="20"/>
        </w:rPr>
        <w:t>.</w:t>
      </w:r>
    </w:p>
    <w:p w14:paraId="63FB7192" w14:textId="77777777" w:rsidR="00E445B8" w:rsidRPr="00142369" w:rsidRDefault="00E445B8" w:rsidP="00625D6F">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Pipeline information – profiles of Investee Companies.</w:t>
      </w:r>
    </w:p>
    <w:bookmarkEnd w:id="33"/>
    <w:p w14:paraId="4040CE66" w14:textId="6B803071" w:rsidR="00E445B8" w:rsidRDefault="00E445B8" w:rsidP="00525E8A">
      <w:pPr>
        <w:pStyle w:val="LightGrid-Accent31"/>
        <w:spacing w:after="200" w:line="276" w:lineRule="auto"/>
        <w:ind w:left="2160"/>
        <w:jc w:val="both"/>
        <w:rPr>
          <w:rFonts w:asciiTheme="minorHAnsi" w:hAnsiTheme="minorHAnsi" w:cstheme="minorHAnsi"/>
          <w:sz w:val="20"/>
          <w:szCs w:val="20"/>
        </w:rPr>
      </w:pPr>
    </w:p>
    <w:p w14:paraId="2FCF592F" w14:textId="279F533B" w:rsidR="00525E8A" w:rsidRDefault="00525E8A" w:rsidP="00525E8A">
      <w:pPr>
        <w:pStyle w:val="LightGrid-Accent31"/>
        <w:spacing w:after="200" w:line="276" w:lineRule="auto"/>
        <w:ind w:left="2160"/>
        <w:jc w:val="both"/>
        <w:rPr>
          <w:rFonts w:asciiTheme="minorHAnsi" w:hAnsiTheme="minorHAnsi" w:cstheme="minorHAnsi"/>
          <w:sz w:val="20"/>
          <w:szCs w:val="20"/>
        </w:rPr>
      </w:pPr>
    </w:p>
    <w:p w14:paraId="2648B55C" w14:textId="77777777" w:rsidR="00525E8A" w:rsidRPr="00142369" w:rsidRDefault="00525E8A" w:rsidP="00525E8A">
      <w:pPr>
        <w:pStyle w:val="LightGrid-Accent31"/>
        <w:spacing w:after="200" w:line="276" w:lineRule="auto"/>
        <w:ind w:left="2160"/>
        <w:jc w:val="both"/>
        <w:rPr>
          <w:rFonts w:asciiTheme="minorHAnsi" w:hAnsiTheme="minorHAnsi" w:cstheme="minorHAnsi"/>
          <w:sz w:val="20"/>
          <w:szCs w:val="20"/>
        </w:rPr>
      </w:pPr>
    </w:p>
    <w:p w14:paraId="113AE929" w14:textId="77777777" w:rsidR="00E445B8" w:rsidRPr="00142369" w:rsidRDefault="00E445B8" w:rsidP="00625D6F">
      <w:pPr>
        <w:pStyle w:val="LightGrid-Accent31"/>
        <w:numPr>
          <w:ilvl w:val="0"/>
          <w:numId w:val="3"/>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lastRenderedPageBreak/>
        <w:t>Fund Details - Financial:</w:t>
      </w:r>
    </w:p>
    <w:p w14:paraId="1C0F9606" w14:textId="387247E0" w:rsidR="00E445B8" w:rsidRPr="00142369" w:rsidRDefault="00A26281" w:rsidP="00625D6F">
      <w:pPr>
        <w:pStyle w:val="LightGrid-Accent31"/>
        <w:numPr>
          <w:ilvl w:val="0"/>
          <w:numId w:val="6"/>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cost </w:t>
      </w:r>
      <w:r w:rsidR="00E445B8" w:rsidRPr="00142369">
        <w:rPr>
          <w:rFonts w:asciiTheme="minorHAnsi" w:hAnsiTheme="minorHAnsi" w:cstheme="minorHAnsi"/>
          <w:sz w:val="20"/>
          <w:szCs w:val="20"/>
        </w:rPr>
        <w:t xml:space="preserve">structure of the </w:t>
      </w:r>
      <w:r w:rsidR="00E445B8" w:rsidRPr="00142369">
        <w:rPr>
          <w:rFonts w:asciiTheme="minorHAnsi" w:hAnsiTheme="minorHAnsi" w:cstheme="minorHAnsi"/>
          <w:b/>
          <w:sz w:val="20"/>
          <w:szCs w:val="20"/>
        </w:rPr>
        <w:t>Fund</w:t>
      </w:r>
      <w:r w:rsidR="00E445B8" w:rsidRPr="00142369">
        <w:rPr>
          <w:rFonts w:asciiTheme="minorHAnsi" w:hAnsiTheme="minorHAnsi" w:cstheme="minorHAnsi"/>
          <w:sz w:val="20"/>
          <w:szCs w:val="20"/>
        </w:rPr>
        <w:t xml:space="preserve"> along its </w:t>
      </w:r>
      <w:r w:rsidR="00497ED9" w:rsidRPr="00142369">
        <w:rPr>
          <w:rFonts w:asciiTheme="minorHAnsi" w:hAnsiTheme="minorHAnsi" w:cstheme="minorHAnsi"/>
          <w:sz w:val="20"/>
          <w:szCs w:val="20"/>
        </w:rPr>
        <w:t>life cycle</w:t>
      </w:r>
      <w:r w:rsidR="00E445B8" w:rsidRPr="00142369">
        <w:rPr>
          <w:rFonts w:asciiTheme="minorHAnsi" w:hAnsiTheme="minorHAnsi" w:cstheme="minorHAnsi"/>
          <w:sz w:val="20"/>
          <w:szCs w:val="20"/>
        </w:rPr>
        <w:t xml:space="preserve"> (remuneration for the members of the team, fixed and variable costs, presented in an Excel spreadsheet)</w:t>
      </w:r>
      <w:r w:rsidR="00DF68FA">
        <w:rPr>
          <w:rFonts w:asciiTheme="minorHAnsi" w:hAnsiTheme="minorHAnsi" w:cstheme="minorHAnsi"/>
          <w:sz w:val="20"/>
          <w:szCs w:val="20"/>
        </w:rPr>
        <w:t>.</w:t>
      </w:r>
    </w:p>
    <w:p w14:paraId="1CFB2CA3" w14:textId="133C2CED" w:rsidR="00E445B8" w:rsidRPr="00142369" w:rsidRDefault="00E445B8" w:rsidP="00625D6F">
      <w:pPr>
        <w:pStyle w:val="LightGrid-Accent31"/>
        <w:numPr>
          <w:ilvl w:val="0"/>
          <w:numId w:val="6"/>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Details of the structure of administration fees and performance fees of the </w:t>
      </w:r>
      <w:r w:rsidRPr="00142369">
        <w:rPr>
          <w:rFonts w:asciiTheme="minorHAnsi" w:hAnsiTheme="minorHAnsi" w:cstheme="minorHAnsi"/>
          <w:b/>
          <w:sz w:val="20"/>
          <w:szCs w:val="20"/>
        </w:rPr>
        <w:t>Fund</w:t>
      </w:r>
      <w:r w:rsidR="00DF68FA">
        <w:rPr>
          <w:rFonts w:asciiTheme="minorHAnsi" w:hAnsiTheme="minorHAnsi" w:cstheme="minorHAnsi"/>
          <w:b/>
          <w:sz w:val="20"/>
          <w:szCs w:val="20"/>
        </w:rPr>
        <w:t>.</w:t>
      </w:r>
    </w:p>
    <w:p w14:paraId="7030CEE0" w14:textId="321D47DF" w:rsidR="00F10B5A" w:rsidRPr="00142369" w:rsidRDefault="00F10B5A" w:rsidP="00625D6F">
      <w:pPr>
        <w:pStyle w:val="LightGrid-Accent31"/>
        <w:numPr>
          <w:ilvl w:val="0"/>
          <w:numId w:val="6"/>
        </w:numPr>
        <w:spacing w:after="200" w:line="276" w:lineRule="auto"/>
        <w:jc w:val="both"/>
        <w:rPr>
          <w:rFonts w:asciiTheme="minorHAnsi" w:hAnsiTheme="minorHAnsi" w:cstheme="minorHAnsi"/>
          <w:bCs/>
          <w:sz w:val="20"/>
          <w:szCs w:val="20"/>
        </w:rPr>
      </w:pPr>
      <w:r w:rsidRPr="00142369">
        <w:rPr>
          <w:rFonts w:asciiTheme="minorHAnsi" w:hAnsiTheme="minorHAnsi" w:cstheme="minorHAnsi"/>
          <w:bCs/>
          <w:sz w:val="20"/>
          <w:szCs w:val="20"/>
        </w:rPr>
        <w:t>Assessment of specific costs associated with an SME Fund and how these costs will be covered</w:t>
      </w:r>
      <w:r w:rsidR="00DF68FA">
        <w:rPr>
          <w:rFonts w:asciiTheme="minorHAnsi" w:hAnsiTheme="minorHAnsi" w:cstheme="minorHAnsi"/>
          <w:bCs/>
          <w:sz w:val="20"/>
          <w:szCs w:val="20"/>
        </w:rPr>
        <w:t>.</w:t>
      </w:r>
    </w:p>
    <w:p w14:paraId="6AEC357D" w14:textId="06943DB1" w:rsidR="00E445B8" w:rsidRPr="00142369" w:rsidRDefault="00E445B8" w:rsidP="00625D6F">
      <w:pPr>
        <w:pStyle w:val="LightGrid-Accent31"/>
        <w:numPr>
          <w:ilvl w:val="0"/>
          <w:numId w:val="6"/>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Projected Cash Flow of the </w:t>
      </w:r>
      <w:r w:rsidRPr="00142369">
        <w:rPr>
          <w:rFonts w:asciiTheme="minorHAnsi" w:hAnsiTheme="minorHAnsi" w:cstheme="minorHAnsi"/>
          <w:b/>
          <w:sz w:val="20"/>
          <w:szCs w:val="20"/>
        </w:rPr>
        <w:t>Fund</w:t>
      </w:r>
      <w:r w:rsidR="00DF68FA">
        <w:rPr>
          <w:rFonts w:asciiTheme="minorHAnsi" w:hAnsiTheme="minorHAnsi" w:cstheme="minorHAnsi"/>
          <w:b/>
          <w:sz w:val="20"/>
          <w:szCs w:val="20"/>
        </w:rPr>
        <w:t>.</w:t>
      </w:r>
    </w:p>
    <w:p w14:paraId="02CCF92B" w14:textId="77777777" w:rsidR="00E445B8" w:rsidRPr="00142369" w:rsidRDefault="00E445B8" w:rsidP="00625D6F">
      <w:pPr>
        <w:pStyle w:val="LightGrid-Accent31"/>
        <w:numPr>
          <w:ilvl w:val="0"/>
          <w:numId w:val="6"/>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Investment return goals, including simulations for baseline scenario, favorable and unfavorable with:</w:t>
      </w:r>
    </w:p>
    <w:p w14:paraId="0C7FAABC" w14:textId="77777777" w:rsidR="00E445B8" w:rsidRPr="00142369" w:rsidRDefault="00E445B8" w:rsidP="00625D6F">
      <w:pPr>
        <w:pStyle w:val="LightGrid-Accent31"/>
        <w:numPr>
          <w:ilvl w:val="1"/>
          <w:numId w:val="6"/>
        </w:numPr>
        <w:spacing w:after="200" w:line="276" w:lineRule="auto"/>
        <w:ind w:left="2880"/>
        <w:jc w:val="both"/>
        <w:rPr>
          <w:rFonts w:asciiTheme="minorHAnsi" w:hAnsiTheme="minorHAnsi" w:cstheme="minorHAnsi"/>
          <w:sz w:val="20"/>
          <w:szCs w:val="20"/>
        </w:rPr>
      </w:pPr>
      <w:r w:rsidRPr="00142369">
        <w:rPr>
          <w:rFonts w:asciiTheme="minorHAnsi" w:hAnsiTheme="minorHAnsi" w:cstheme="minorHAnsi"/>
          <w:sz w:val="20"/>
          <w:szCs w:val="20"/>
        </w:rPr>
        <w:t>Rates of return on investments</w:t>
      </w:r>
    </w:p>
    <w:p w14:paraId="18C5A60C" w14:textId="77777777" w:rsidR="00E445B8" w:rsidRPr="00142369" w:rsidRDefault="00E445B8" w:rsidP="00625D6F">
      <w:pPr>
        <w:pStyle w:val="LightGrid-Accent31"/>
        <w:numPr>
          <w:ilvl w:val="1"/>
          <w:numId w:val="6"/>
        </w:numPr>
        <w:spacing w:after="200" w:line="276" w:lineRule="auto"/>
        <w:ind w:left="2880"/>
        <w:jc w:val="both"/>
        <w:rPr>
          <w:rFonts w:asciiTheme="minorHAnsi" w:hAnsiTheme="minorHAnsi" w:cstheme="minorHAnsi"/>
          <w:sz w:val="20"/>
          <w:szCs w:val="20"/>
        </w:rPr>
      </w:pPr>
      <w:r w:rsidRPr="00142369">
        <w:rPr>
          <w:rFonts w:asciiTheme="minorHAnsi" w:hAnsiTheme="minorHAnsi" w:cstheme="minorHAnsi"/>
          <w:sz w:val="20"/>
          <w:szCs w:val="20"/>
        </w:rPr>
        <w:t xml:space="preserve">Internal rate of return for the </w:t>
      </w:r>
      <w:r w:rsidRPr="00142369">
        <w:rPr>
          <w:rFonts w:asciiTheme="minorHAnsi" w:hAnsiTheme="minorHAnsi" w:cstheme="minorHAnsi"/>
          <w:b/>
          <w:sz w:val="20"/>
          <w:szCs w:val="20"/>
        </w:rPr>
        <w:t xml:space="preserve">Fund </w:t>
      </w:r>
      <w:r w:rsidRPr="00142369">
        <w:rPr>
          <w:rFonts w:asciiTheme="minorHAnsi" w:hAnsiTheme="minorHAnsi" w:cstheme="minorHAnsi"/>
          <w:sz w:val="20"/>
          <w:szCs w:val="20"/>
        </w:rPr>
        <w:t>and for the investors (net and gross).</w:t>
      </w:r>
    </w:p>
    <w:p w14:paraId="717FEA39" w14:textId="77777777" w:rsidR="00E445B8" w:rsidRPr="00142369" w:rsidRDefault="00E445B8" w:rsidP="000C2D6C">
      <w:pPr>
        <w:pStyle w:val="LightGrid-Accent31"/>
        <w:spacing w:after="200" w:line="276" w:lineRule="auto"/>
        <w:ind w:left="3240"/>
        <w:jc w:val="both"/>
        <w:rPr>
          <w:rFonts w:asciiTheme="minorHAnsi" w:hAnsiTheme="minorHAnsi" w:cstheme="minorHAnsi"/>
          <w:sz w:val="20"/>
          <w:szCs w:val="20"/>
        </w:rPr>
      </w:pPr>
    </w:p>
    <w:p w14:paraId="53496F6D" w14:textId="487BF02C" w:rsidR="00E445B8" w:rsidRPr="00142369" w:rsidRDefault="00E445B8" w:rsidP="00625D6F">
      <w:pPr>
        <w:pStyle w:val="LightGrid-Accent31"/>
        <w:numPr>
          <w:ilvl w:val="0"/>
          <w:numId w:val="3"/>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Details - Environmental, Social, Governance:</w:t>
      </w:r>
      <w:r w:rsidR="00F065E7" w:rsidRPr="00142369">
        <w:rPr>
          <w:rFonts w:asciiTheme="minorHAnsi" w:hAnsiTheme="minorHAnsi" w:cstheme="minorHAnsi"/>
          <w:b/>
          <w:sz w:val="20"/>
          <w:szCs w:val="20"/>
        </w:rPr>
        <w:t xml:space="preserve"> </w:t>
      </w:r>
      <w:r w:rsidRPr="00142369">
        <w:rPr>
          <w:rFonts w:asciiTheme="minorHAnsi" w:hAnsiTheme="minorHAnsi" w:cstheme="minorHAnsi"/>
          <w:b/>
          <w:sz w:val="20"/>
          <w:szCs w:val="20"/>
        </w:rPr>
        <w:t>-</w:t>
      </w:r>
    </w:p>
    <w:p w14:paraId="43447B3E" w14:textId="000F6E9F" w:rsidR="00E445B8" w:rsidRPr="00142369" w:rsidRDefault="00A26281" w:rsidP="00625D6F">
      <w:pPr>
        <w:numPr>
          <w:ilvl w:val="0"/>
          <w:numId w:val="7"/>
        </w:numPr>
        <w:contextualSpacing/>
        <w:jc w:val="both"/>
        <w:rPr>
          <w:rFonts w:cstheme="minorHAnsi"/>
          <w:sz w:val="20"/>
          <w:szCs w:val="20"/>
        </w:rPr>
      </w:pPr>
      <w:r w:rsidRPr="00142369">
        <w:rPr>
          <w:rFonts w:cstheme="minorHAnsi"/>
          <w:sz w:val="20"/>
          <w:szCs w:val="20"/>
        </w:rPr>
        <w:t xml:space="preserve">The governance </w:t>
      </w:r>
      <w:r w:rsidR="00E445B8" w:rsidRPr="00142369">
        <w:rPr>
          <w:rFonts w:cstheme="minorHAnsi"/>
          <w:sz w:val="20"/>
          <w:szCs w:val="20"/>
        </w:rPr>
        <w:t>model of the Fund in particular</w:t>
      </w:r>
      <w:r w:rsidR="00B25D7A" w:rsidRPr="00142369">
        <w:rPr>
          <w:rFonts w:cstheme="minorHAnsi"/>
          <w:sz w:val="20"/>
          <w:szCs w:val="20"/>
        </w:rPr>
        <w:t xml:space="preserve"> </w:t>
      </w:r>
      <w:r w:rsidR="00E445B8" w:rsidRPr="00142369">
        <w:rPr>
          <w:rFonts w:cstheme="minorHAnsi"/>
          <w:sz w:val="20"/>
          <w:szCs w:val="20"/>
        </w:rPr>
        <w:t>shareholder meetings, investment committee and councils (include other governance policies and arrangements, where applicable)</w:t>
      </w:r>
      <w:r w:rsidR="00DF68FA">
        <w:rPr>
          <w:rFonts w:cstheme="minorHAnsi"/>
          <w:sz w:val="20"/>
          <w:szCs w:val="20"/>
        </w:rPr>
        <w:t>.</w:t>
      </w:r>
    </w:p>
    <w:p w14:paraId="3538E0C7" w14:textId="6B136987" w:rsidR="00E445B8" w:rsidRPr="00142369" w:rsidRDefault="00E445B8" w:rsidP="00625D6F">
      <w:pPr>
        <w:numPr>
          <w:ilvl w:val="0"/>
          <w:numId w:val="7"/>
        </w:numPr>
        <w:contextualSpacing/>
        <w:jc w:val="both"/>
        <w:rPr>
          <w:rFonts w:cstheme="minorHAnsi"/>
          <w:sz w:val="20"/>
          <w:szCs w:val="20"/>
        </w:rPr>
      </w:pPr>
      <w:r w:rsidRPr="00142369">
        <w:rPr>
          <w:rFonts w:cstheme="minorHAnsi"/>
          <w:sz w:val="20"/>
          <w:szCs w:val="20"/>
        </w:rPr>
        <w:t>Governance model relating to Investee Companies</w:t>
      </w:r>
      <w:r w:rsidR="00DF68FA">
        <w:rPr>
          <w:rFonts w:cstheme="minorHAnsi"/>
          <w:sz w:val="20"/>
          <w:szCs w:val="20"/>
        </w:rPr>
        <w:t>.</w:t>
      </w:r>
    </w:p>
    <w:p w14:paraId="256D18B7" w14:textId="603EF958" w:rsidR="00E445B8" w:rsidRDefault="00E445B8" w:rsidP="00625D6F">
      <w:pPr>
        <w:numPr>
          <w:ilvl w:val="0"/>
          <w:numId w:val="7"/>
        </w:numPr>
        <w:contextualSpacing/>
        <w:jc w:val="both"/>
        <w:rPr>
          <w:rFonts w:cstheme="minorHAnsi"/>
          <w:sz w:val="20"/>
          <w:szCs w:val="20"/>
        </w:rPr>
      </w:pPr>
      <w:r w:rsidRPr="00142369">
        <w:rPr>
          <w:rFonts w:cstheme="minorHAnsi"/>
          <w:sz w:val="20"/>
          <w:szCs w:val="20"/>
        </w:rPr>
        <w:t xml:space="preserve">Indicate any internal and external policies which encompass social, environmental and/or ethical responsibility, and provide information about these respective policies. </w:t>
      </w:r>
    </w:p>
    <w:p w14:paraId="6AF09F2D" w14:textId="77777777" w:rsidR="00730A2C" w:rsidRPr="005253D7" w:rsidRDefault="00730A2C" w:rsidP="00730A2C">
      <w:pPr>
        <w:ind w:left="1800"/>
        <w:contextualSpacing/>
        <w:jc w:val="both"/>
        <w:rPr>
          <w:rFonts w:cstheme="minorHAnsi"/>
          <w:sz w:val="20"/>
          <w:szCs w:val="20"/>
        </w:rPr>
      </w:pPr>
    </w:p>
    <w:p w14:paraId="43E6B65B" w14:textId="16CD699E" w:rsidR="00E445B8" w:rsidRPr="00646DD5" w:rsidRDefault="00E445B8" w:rsidP="007923B4">
      <w:pPr>
        <w:pStyle w:val="LightGrid-Accent31"/>
        <w:numPr>
          <w:ilvl w:val="1"/>
          <w:numId w:val="1"/>
        </w:numPr>
        <w:spacing w:after="200" w:line="276" w:lineRule="auto"/>
        <w:jc w:val="both"/>
        <w:rPr>
          <w:rFonts w:asciiTheme="minorHAnsi" w:hAnsiTheme="minorHAnsi" w:cstheme="minorHAnsi"/>
          <w:b/>
          <w:sz w:val="20"/>
          <w:szCs w:val="20"/>
        </w:rPr>
      </w:pPr>
      <w:bookmarkStart w:id="34" w:name="_Toc429390666"/>
      <w:bookmarkStart w:id="35" w:name="_Toc31010189"/>
      <w:r w:rsidRPr="00FE1E9F">
        <w:rPr>
          <w:rStyle w:val="Heading2Char"/>
          <w:rFonts w:asciiTheme="minorHAnsi" w:hAnsiTheme="minorHAnsi" w:cstheme="minorHAnsi"/>
          <w:sz w:val="20"/>
          <w:szCs w:val="20"/>
        </w:rPr>
        <w:t>Deadline &amp; Submission Method for Proposals</w:t>
      </w:r>
      <w:bookmarkEnd w:id="34"/>
      <w:bookmarkEnd w:id="35"/>
    </w:p>
    <w:p w14:paraId="188AA152" w14:textId="073C6557" w:rsidR="00730A2C" w:rsidRPr="00FE1E9F" w:rsidRDefault="00730A2C" w:rsidP="000A6A94">
      <w:pPr>
        <w:pStyle w:val="ListParagraph"/>
        <w:numPr>
          <w:ilvl w:val="0"/>
          <w:numId w:val="22"/>
        </w:numPr>
        <w:jc w:val="both"/>
        <w:rPr>
          <w:rFonts w:asciiTheme="minorHAnsi" w:eastAsia="MS Mincho" w:hAnsiTheme="minorHAnsi" w:cstheme="minorHAnsi"/>
          <w:b/>
          <w:bCs/>
          <w:sz w:val="20"/>
          <w:szCs w:val="20"/>
        </w:rPr>
      </w:pPr>
      <w:r w:rsidRPr="00FE1E9F">
        <w:rPr>
          <w:rFonts w:asciiTheme="minorHAnsi" w:eastAsia="MS Mincho" w:hAnsiTheme="minorHAnsi" w:cstheme="minorHAnsi"/>
          <w:b/>
          <w:bCs/>
          <w:sz w:val="20"/>
          <w:szCs w:val="20"/>
        </w:rPr>
        <w:t xml:space="preserve">Proposals will be accepted in Hard Copies or Soft Copies </w:t>
      </w:r>
    </w:p>
    <w:p w14:paraId="63D0C16D" w14:textId="41BBC142" w:rsidR="00A545C2" w:rsidRPr="00FE1E9F" w:rsidRDefault="00730A2C" w:rsidP="000A6A94">
      <w:pPr>
        <w:pStyle w:val="ListParagraph"/>
        <w:numPr>
          <w:ilvl w:val="0"/>
          <w:numId w:val="22"/>
        </w:numPr>
        <w:jc w:val="both"/>
        <w:rPr>
          <w:rFonts w:asciiTheme="minorHAnsi" w:eastAsia="MS Mincho" w:hAnsiTheme="minorHAnsi" w:cstheme="minorHAnsi"/>
          <w:sz w:val="20"/>
          <w:szCs w:val="20"/>
        </w:rPr>
      </w:pPr>
      <w:r w:rsidRPr="00FE1E9F">
        <w:rPr>
          <w:rFonts w:asciiTheme="minorHAnsi" w:eastAsia="MS Mincho" w:hAnsiTheme="minorHAnsi" w:cstheme="minorHAnsi"/>
          <w:sz w:val="20"/>
          <w:szCs w:val="20"/>
        </w:rPr>
        <w:t xml:space="preserve">If Proposals are submitted via Hard Copies, both Technical and Financial Proposals must be </w:t>
      </w:r>
      <w:r w:rsidR="000A6A94" w:rsidRPr="00FE1E9F">
        <w:rPr>
          <w:rFonts w:asciiTheme="minorHAnsi" w:eastAsia="MS Mincho" w:hAnsiTheme="minorHAnsi" w:cstheme="minorHAnsi"/>
          <w:sz w:val="20"/>
          <w:szCs w:val="20"/>
        </w:rPr>
        <w:t>submitted separately</w:t>
      </w:r>
      <w:r w:rsidR="00C41251" w:rsidRPr="00FE1E9F">
        <w:rPr>
          <w:rFonts w:asciiTheme="minorHAnsi" w:eastAsia="MS Mincho" w:hAnsiTheme="minorHAnsi" w:cstheme="minorHAnsi"/>
          <w:sz w:val="20"/>
          <w:szCs w:val="20"/>
        </w:rPr>
        <w:t xml:space="preserve">, simultaneously </w:t>
      </w:r>
      <w:r w:rsidRPr="00FE1E9F">
        <w:rPr>
          <w:rFonts w:asciiTheme="minorHAnsi" w:eastAsia="MS Mincho" w:hAnsiTheme="minorHAnsi" w:cstheme="minorHAnsi"/>
          <w:sz w:val="20"/>
          <w:szCs w:val="20"/>
        </w:rPr>
        <w:t xml:space="preserve">in sealed envelopes </w:t>
      </w:r>
      <w:r w:rsidR="00A545C2" w:rsidRPr="00242F53">
        <w:rPr>
          <w:rFonts w:asciiTheme="minorHAnsi" w:hAnsiTheme="minorHAnsi" w:cstheme="minorHAnsi"/>
          <w:sz w:val="20"/>
          <w:szCs w:val="20"/>
        </w:rPr>
        <w:t xml:space="preserve">via mail or courier, or presented in person by a Proposer’s </w:t>
      </w:r>
      <w:r w:rsidR="00A545C2" w:rsidRPr="00242F53">
        <w:rPr>
          <w:rFonts w:asciiTheme="minorHAnsi" w:eastAsia="MS Mincho" w:hAnsiTheme="minorHAnsi" w:cstheme="minorHAnsi"/>
          <w:sz w:val="20"/>
          <w:szCs w:val="20"/>
        </w:rPr>
        <w:t xml:space="preserve">representative, to the address below on or before 3:00 p.m. on the </w:t>
      </w:r>
      <w:r w:rsidR="00C02044" w:rsidRPr="00242F53">
        <w:rPr>
          <w:rFonts w:asciiTheme="minorHAnsi" w:eastAsia="MS Mincho" w:hAnsiTheme="minorHAnsi" w:cstheme="minorHAnsi"/>
          <w:b/>
          <w:bCs/>
          <w:sz w:val="20"/>
          <w:szCs w:val="20"/>
        </w:rPr>
        <w:t xml:space="preserve">January </w:t>
      </w:r>
      <w:r w:rsidR="008A338F">
        <w:rPr>
          <w:rFonts w:asciiTheme="minorHAnsi" w:eastAsia="MS Mincho" w:hAnsiTheme="minorHAnsi" w:cstheme="minorHAnsi"/>
          <w:b/>
          <w:bCs/>
          <w:sz w:val="20"/>
          <w:szCs w:val="20"/>
        </w:rPr>
        <w:t>12</w:t>
      </w:r>
      <w:r w:rsidR="00DF68FA" w:rsidRPr="00242F53">
        <w:rPr>
          <w:rFonts w:asciiTheme="minorHAnsi" w:eastAsia="MS Mincho" w:hAnsiTheme="minorHAnsi" w:cstheme="minorHAnsi"/>
          <w:b/>
          <w:bCs/>
          <w:sz w:val="20"/>
          <w:szCs w:val="20"/>
        </w:rPr>
        <w:t>, 202</w:t>
      </w:r>
      <w:r w:rsidR="00C02044" w:rsidRPr="00242F53">
        <w:rPr>
          <w:rFonts w:asciiTheme="minorHAnsi" w:eastAsia="MS Mincho" w:hAnsiTheme="minorHAnsi" w:cstheme="minorHAnsi"/>
          <w:b/>
          <w:bCs/>
          <w:sz w:val="20"/>
          <w:szCs w:val="20"/>
        </w:rPr>
        <w:t>2</w:t>
      </w:r>
      <w:r w:rsidR="000A6A94" w:rsidRPr="00242F53">
        <w:rPr>
          <w:rFonts w:asciiTheme="minorHAnsi" w:eastAsia="MS Mincho" w:hAnsiTheme="minorHAnsi" w:cstheme="minorHAnsi"/>
          <w:sz w:val="20"/>
          <w:szCs w:val="20"/>
        </w:rPr>
        <w:t xml:space="preserve">. </w:t>
      </w:r>
      <w:r w:rsidR="00C41251" w:rsidRPr="00242F53">
        <w:rPr>
          <w:rFonts w:asciiTheme="minorHAnsi" w:eastAsia="MS Mincho" w:hAnsiTheme="minorHAnsi" w:cstheme="minorHAnsi"/>
          <w:sz w:val="20"/>
          <w:szCs w:val="20"/>
        </w:rPr>
        <w:t>A thumb drive must be provided with Hard Copies as per the required format in IV below.</w:t>
      </w:r>
    </w:p>
    <w:p w14:paraId="47951B5A" w14:textId="3E471CC5" w:rsidR="00A545C2" w:rsidRPr="00FE1E9F" w:rsidRDefault="00A545C2" w:rsidP="000A6A94">
      <w:pPr>
        <w:pStyle w:val="LightGrid-Accent31"/>
        <w:spacing w:after="200" w:line="276" w:lineRule="auto"/>
        <w:jc w:val="both"/>
        <w:rPr>
          <w:rFonts w:asciiTheme="minorHAnsi" w:hAnsiTheme="minorHAnsi" w:cstheme="minorHAnsi"/>
          <w:sz w:val="20"/>
          <w:szCs w:val="20"/>
        </w:rPr>
      </w:pPr>
    </w:p>
    <w:p w14:paraId="48679C34" w14:textId="3B02573C" w:rsidR="00A545C2" w:rsidRPr="00646DD5" w:rsidRDefault="00A545C2" w:rsidP="000A6A94">
      <w:pPr>
        <w:pStyle w:val="LightGrid-Accent31"/>
        <w:ind w:left="1440" w:firstLine="720"/>
        <w:jc w:val="both"/>
        <w:rPr>
          <w:rFonts w:asciiTheme="minorHAnsi" w:hAnsiTheme="minorHAnsi" w:cstheme="minorHAnsi"/>
          <w:b/>
          <w:sz w:val="22"/>
          <w:szCs w:val="22"/>
        </w:rPr>
      </w:pPr>
      <w:r w:rsidRPr="00242F53">
        <w:rPr>
          <w:rFonts w:asciiTheme="minorHAnsi" w:hAnsiTheme="minorHAnsi" w:cstheme="minorHAnsi"/>
          <w:b/>
        </w:rPr>
        <w:t>The</w:t>
      </w:r>
      <w:r w:rsidR="00CC1B62" w:rsidRPr="00FE1E9F">
        <w:rPr>
          <w:rFonts w:asciiTheme="minorHAnsi" w:hAnsiTheme="minorHAnsi" w:cstheme="minorHAnsi"/>
          <w:b/>
          <w:sz w:val="22"/>
          <w:szCs w:val="22"/>
        </w:rPr>
        <w:t xml:space="preserve"> Private Capital Unit,</w:t>
      </w:r>
    </w:p>
    <w:p w14:paraId="49E0651C" w14:textId="77777777" w:rsidR="00A545C2" w:rsidRPr="00FE1E9F" w:rsidRDefault="00A545C2" w:rsidP="000A6A94">
      <w:pPr>
        <w:pStyle w:val="LightGrid-Accent31"/>
        <w:ind w:left="1440" w:firstLine="720"/>
        <w:jc w:val="both"/>
        <w:rPr>
          <w:rFonts w:asciiTheme="minorHAnsi" w:hAnsiTheme="minorHAnsi" w:cstheme="minorHAnsi"/>
          <w:b/>
          <w:sz w:val="22"/>
          <w:szCs w:val="22"/>
        </w:rPr>
      </w:pPr>
      <w:r w:rsidRPr="00FE1E9F">
        <w:rPr>
          <w:rFonts w:asciiTheme="minorHAnsi" w:hAnsiTheme="minorHAnsi" w:cstheme="minorHAnsi"/>
          <w:b/>
          <w:sz w:val="22"/>
          <w:szCs w:val="22"/>
        </w:rPr>
        <w:t>Development Bank of Jamaica Limited</w:t>
      </w:r>
    </w:p>
    <w:p w14:paraId="4093C46E" w14:textId="77777777" w:rsidR="00A545C2" w:rsidRPr="00FE1E9F" w:rsidRDefault="00A545C2" w:rsidP="000A6A94">
      <w:pPr>
        <w:pStyle w:val="LightGrid-Accent31"/>
        <w:ind w:left="1440" w:firstLine="720"/>
        <w:jc w:val="both"/>
        <w:rPr>
          <w:rFonts w:asciiTheme="minorHAnsi" w:hAnsiTheme="minorHAnsi" w:cstheme="minorHAnsi"/>
          <w:b/>
          <w:sz w:val="22"/>
          <w:szCs w:val="22"/>
        </w:rPr>
      </w:pPr>
      <w:r w:rsidRPr="00FE1E9F">
        <w:rPr>
          <w:rFonts w:asciiTheme="minorHAnsi" w:hAnsiTheme="minorHAnsi" w:cstheme="minorHAnsi"/>
          <w:b/>
          <w:sz w:val="22"/>
          <w:szCs w:val="22"/>
        </w:rPr>
        <w:t>11a-15 Oxford Road</w:t>
      </w:r>
    </w:p>
    <w:p w14:paraId="7FE380F4" w14:textId="4D0071D6" w:rsidR="00A545C2" w:rsidRPr="00FE1E9F" w:rsidRDefault="00A545C2" w:rsidP="000A6A94">
      <w:pPr>
        <w:pStyle w:val="LightGrid-Accent31"/>
        <w:ind w:left="1440" w:firstLine="720"/>
        <w:jc w:val="both"/>
        <w:rPr>
          <w:rFonts w:asciiTheme="minorHAnsi" w:hAnsiTheme="minorHAnsi" w:cstheme="minorHAnsi"/>
          <w:b/>
          <w:sz w:val="22"/>
          <w:szCs w:val="22"/>
        </w:rPr>
      </w:pPr>
      <w:r w:rsidRPr="00FE1E9F">
        <w:rPr>
          <w:rFonts w:asciiTheme="minorHAnsi" w:hAnsiTheme="minorHAnsi" w:cstheme="minorHAnsi"/>
          <w:b/>
          <w:sz w:val="22"/>
          <w:szCs w:val="22"/>
        </w:rPr>
        <w:t>Kingston 5</w:t>
      </w:r>
      <w:r w:rsidR="005253D7" w:rsidRPr="00FE1E9F">
        <w:rPr>
          <w:rFonts w:asciiTheme="minorHAnsi" w:hAnsiTheme="minorHAnsi" w:cstheme="minorHAnsi"/>
          <w:b/>
          <w:sz w:val="22"/>
          <w:szCs w:val="22"/>
        </w:rPr>
        <w:t>, Jamaica</w:t>
      </w:r>
    </w:p>
    <w:p w14:paraId="49277992" w14:textId="0A6FC53C" w:rsidR="00A545C2" w:rsidRPr="00FE1E9F" w:rsidRDefault="00A545C2" w:rsidP="000A6A94">
      <w:pPr>
        <w:pStyle w:val="LightGrid-Accent31"/>
        <w:spacing w:after="200" w:line="276" w:lineRule="auto"/>
        <w:ind w:left="0"/>
        <w:jc w:val="both"/>
        <w:rPr>
          <w:rFonts w:asciiTheme="minorHAnsi" w:hAnsiTheme="minorHAnsi" w:cstheme="minorHAnsi"/>
          <w:sz w:val="20"/>
          <w:szCs w:val="20"/>
        </w:rPr>
      </w:pPr>
    </w:p>
    <w:p w14:paraId="2E3E5493" w14:textId="77777777" w:rsidR="00A545C2" w:rsidRPr="00FE1E9F" w:rsidRDefault="00A545C2" w:rsidP="000A6A94">
      <w:pPr>
        <w:pStyle w:val="LightGrid-Accent31"/>
        <w:spacing w:after="200" w:line="276" w:lineRule="auto"/>
        <w:ind w:left="0"/>
        <w:jc w:val="both"/>
        <w:rPr>
          <w:rFonts w:asciiTheme="minorHAnsi" w:hAnsiTheme="minorHAnsi" w:cstheme="minorHAnsi"/>
          <w:sz w:val="20"/>
          <w:szCs w:val="20"/>
        </w:rPr>
      </w:pPr>
    </w:p>
    <w:p w14:paraId="4454E8E1" w14:textId="23E745D6" w:rsidR="00E228D6" w:rsidRPr="00FE1E9F" w:rsidRDefault="0099654D" w:rsidP="000A6A94">
      <w:pPr>
        <w:pStyle w:val="LightGrid-Accent31"/>
        <w:numPr>
          <w:ilvl w:val="0"/>
          <w:numId w:val="22"/>
        </w:numPr>
        <w:spacing w:after="200" w:line="276" w:lineRule="auto"/>
        <w:jc w:val="both"/>
        <w:rPr>
          <w:rFonts w:asciiTheme="minorHAnsi" w:hAnsiTheme="minorHAnsi" w:cstheme="minorHAnsi"/>
          <w:sz w:val="20"/>
          <w:szCs w:val="20"/>
        </w:rPr>
      </w:pPr>
      <w:r w:rsidRPr="00FE1E9F">
        <w:rPr>
          <w:rFonts w:asciiTheme="minorHAnsi" w:hAnsiTheme="minorHAnsi" w:cstheme="minorHAnsi"/>
          <w:sz w:val="20"/>
          <w:szCs w:val="20"/>
        </w:rPr>
        <w:t xml:space="preserve">Proposals </w:t>
      </w:r>
      <w:r w:rsidR="00313A22" w:rsidRPr="00FE1E9F">
        <w:rPr>
          <w:rFonts w:asciiTheme="minorHAnsi" w:hAnsiTheme="minorHAnsi" w:cstheme="minorHAnsi"/>
          <w:sz w:val="20"/>
          <w:szCs w:val="20"/>
        </w:rPr>
        <w:t>submitted in</w:t>
      </w:r>
      <w:r w:rsidR="00A545C2" w:rsidRPr="00FE1E9F">
        <w:rPr>
          <w:rFonts w:asciiTheme="minorHAnsi" w:hAnsiTheme="minorHAnsi" w:cstheme="minorHAnsi"/>
          <w:b/>
          <w:sz w:val="20"/>
          <w:szCs w:val="20"/>
        </w:rPr>
        <w:t xml:space="preserve"> </w:t>
      </w:r>
      <w:r w:rsidR="00A545C2" w:rsidRPr="00FE1E9F">
        <w:rPr>
          <w:rFonts w:asciiTheme="minorHAnsi" w:hAnsiTheme="minorHAnsi" w:cstheme="minorHAnsi"/>
          <w:bCs/>
          <w:sz w:val="20"/>
          <w:szCs w:val="20"/>
        </w:rPr>
        <w:t>Soft Copies</w:t>
      </w:r>
      <w:r w:rsidR="00313A22" w:rsidRPr="00FE1E9F">
        <w:rPr>
          <w:rFonts w:asciiTheme="minorHAnsi" w:hAnsiTheme="minorHAnsi" w:cstheme="minorHAnsi"/>
          <w:bCs/>
          <w:sz w:val="20"/>
          <w:szCs w:val="20"/>
        </w:rPr>
        <w:t xml:space="preserve"> </w:t>
      </w:r>
      <w:r w:rsidR="00A545C2" w:rsidRPr="00FE1E9F">
        <w:rPr>
          <w:rFonts w:asciiTheme="minorHAnsi" w:hAnsiTheme="minorHAnsi" w:cstheme="minorHAnsi"/>
          <w:bCs/>
          <w:sz w:val="20"/>
          <w:szCs w:val="20"/>
        </w:rPr>
        <w:t>should be submitted via email to</w:t>
      </w:r>
      <w:r w:rsidR="00651146" w:rsidRPr="00FE1E9F">
        <w:rPr>
          <w:rFonts w:asciiTheme="minorHAnsi" w:hAnsiTheme="minorHAnsi" w:cstheme="minorHAnsi"/>
          <w:bCs/>
          <w:sz w:val="20"/>
          <w:szCs w:val="20"/>
        </w:rPr>
        <w:t>:</w:t>
      </w:r>
      <w:r w:rsidR="00A545C2" w:rsidRPr="00FE1E9F">
        <w:rPr>
          <w:rFonts w:asciiTheme="minorHAnsi" w:hAnsiTheme="minorHAnsi" w:cstheme="minorHAnsi"/>
          <w:b/>
          <w:sz w:val="20"/>
          <w:szCs w:val="20"/>
        </w:rPr>
        <w:t xml:space="preserve"> accesstofinance@dbankjm.com.</w:t>
      </w:r>
    </w:p>
    <w:p w14:paraId="5334C0C3" w14:textId="3F2B6B7B" w:rsidR="0052432C" w:rsidRPr="00FE1E9F" w:rsidRDefault="00600541" w:rsidP="000A6A94">
      <w:pPr>
        <w:pStyle w:val="LightGrid-Accent31"/>
        <w:numPr>
          <w:ilvl w:val="0"/>
          <w:numId w:val="22"/>
        </w:numPr>
        <w:spacing w:after="200" w:line="276" w:lineRule="auto"/>
        <w:jc w:val="both"/>
        <w:rPr>
          <w:rFonts w:asciiTheme="minorHAnsi" w:hAnsiTheme="minorHAnsi" w:cstheme="minorHAnsi"/>
          <w:sz w:val="20"/>
          <w:szCs w:val="20"/>
        </w:rPr>
      </w:pPr>
      <w:r w:rsidRPr="00FE1E9F">
        <w:rPr>
          <w:rFonts w:asciiTheme="minorHAnsi" w:hAnsiTheme="minorHAnsi" w:cstheme="minorHAnsi"/>
          <w:sz w:val="20"/>
          <w:szCs w:val="20"/>
        </w:rPr>
        <w:t xml:space="preserve">Applicants must submit a soft copy </w:t>
      </w:r>
      <w:r w:rsidR="00B607BF" w:rsidRPr="00FE1E9F">
        <w:rPr>
          <w:rFonts w:asciiTheme="minorHAnsi" w:hAnsiTheme="minorHAnsi" w:cstheme="minorHAnsi"/>
          <w:sz w:val="20"/>
          <w:szCs w:val="20"/>
        </w:rPr>
        <w:t>of their Proposal</w:t>
      </w:r>
      <w:r w:rsidRPr="00FE1E9F">
        <w:rPr>
          <w:rFonts w:asciiTheme="minorHAnsi" w:hAnsiTheme="minorHAnsi" w:cstheme="minorHAnsi"/>
          <w:sz w:val="20"/>
          <w:szCs w:val="20"/>
        </w:rPr>
        <w:t xml:space="preserve"> </w:t>
      </w:r>
      <w:r w:rsidR="0052432C" w:rsidRPr="00FE1E9F">
        <w:rPr>
          <w:rFonts w:asciiTheme="minorHAnsi" w:hAnsiTheme="minorHAnsi" w:cstheme="minorHAnsi"/>
          <w:sz w:val="20"/>
          <w:szCs w:val="20"/>
        </w:rPr>
        <w:t>in the following format:</w:t>
      </w:r>
    </w:p>
    <w:p w14:paraId="5F8C2803" w14:textId="37383E80" w:rsidR="00627559" w:rsidRPr="00FE1E9F" w:rsidRDefault="0052432C" w:rsidP="000A6A94">
      <w:pPr>
        <w:pStyle w:val="LightGrid-Accent31"/>
        <w:numPr>
          <w:ilvl w:val="0"/>
          <w:numId w:val="23"/>
        </w:numPr>
        <w:spacing w:line="276" w:lineRule="auto"/>
        <w:jc w:val="both"/>
        <w:rPr>
          <w:rFonts w:asciiTheme="minorHAnsi" w:hAnsiTheme="minorHAnsi" w:cstheme="minorHAnsi"/>
          <w:sz w:val="20"/>
          <w:szCs w:val="20"/>
        </w:rPr>
      </w:pPr>
      <w:r w:rsidRPr="00FE1E9F">
        <w:rPr>
          <w:rFonts w:asciiTheme="minorHAnsi" w:hAnsiTheme="minorHAnsi" w:cstheme="minorHAnsi"/>
          <w:sz w:val="20"/>
          <w:szCs w:val="20"/>
        </w:rPr>
        <w:t xml:space="preserve">DOC, DOCX, or PDF </w:t>
      </w:r>
    </w:p>
    <w:p w14:paraId="5D2DD126" w14:textId="03C28367" w:rsidR="00627559" w:rsidRPr="00FE1E9F" w:rsidRDefault="0052432C" w:rsidP="000A6A94">
      <w:pPr>
        <w:pStyle w:val="LightGrid-Accent31"/>
        <w:numPr>
          <w:ilvl w:val="0"/>
          <w:numId w:val="23"/>
        </w:numPr>
        <w:spacing w:line="276" w:lineRule="auto"/>
        <w:jc w:val="both"/>
        <w:rPr>
          <w:rFonts w:asciiTheme="minorHAnsi" w:hAnsiTheme="minorHAnsi" w:cstheme="minorHAnsi"/>
          <w:sz w:val="20"/>
          <w:szCs w:val="20"/>
        </w:rPr>
      </w:pPr>
      <w:r w:rsidRPr="00FE1E9F">
        <w:rPr>
          <w:rFonts w:asciiTheme="minorHAnsi" w:hAnsiTheme="minorHAnsi" w:cstheme="minorHAnsi"/>
          <w:sz w:val="20"/>
          <w:szCs w:val="20"/>
        </w:rPr>
        <w:t xml:space="preserve">Cost Structure, detailing the administration fee and the performance fee and Cash Flow of the </w:t>
      </w:r>
      <w:r w:rsidRPr="00FE1E9F">
        <w:rPr>
          <w:rFonts w:asciiTheme="minorHAnsi" w:hAnsiTheme="minorHAnsi" w:cstheme="minorHAnsi"/>
          <w:b/>
          <w:sz w:val="20"/>
          <w:szCs w:val="20"/>
        </w:rPr>
        <w:t>Fund</w:t>
      </w:r>
    </w:p>
    <w:p w14:paraId="39107E3A" w14:textId="7B299F64" w:rsidR="00B607BF" w:rsidRPr="00FE1E9F" w:rsidRDefault="0052432C" w:rsidP="000A6A94">
      <w:pPr>
        <w:pStyle w:val="LightGrid-Accent31"/>
        <w:numPr>
          <w:ilvl w:val="0"/>
          <w:numId w:val="23"/>
        </w:numPr>
        <w:spacing w:line="276" w:lineRule="auto"/>
        <w:jc w:val="both"/>
        <w:rPr>
          <w:rFonts w:asciiTheme="minorHAnsi" w:hAnsiTheme="minorHAnsi" w:cstheme="minorHAnsi"/>
          <w:sz w:val="20"/>
          <w:szCs w:val="20"/>
        </w:rPr>
      </w:pPr>
      <w:r w:rsidRPr="00FE1E9F">
        <w:rPr>
          <w:rFonts w:asciiTheme="minorHAnsi" w:hAnsiTheme="minorHAnsi" w:cstheme="minorHAnsi"/>
          <w:sz w:val="20"/>
          <w:szCs w:val="20"/>
        </w:rPr>
        <w:t xml:space="preserve"> (Items 2.2 c) </w:t>
      </w:r>
      <w:proofErr w:type="spellStart"/>
      <w:r w:rsidR="00C02044" w:rsidRPr="00FE1E9F">
        <w:rPr>
          <w:rFonts w:asciiTheme="minorHAnsi" w:hAnsiTheme="minorHAnsi" w:cstheme="minorHAnsi"/>
          <w:sz w:val="20"/>
          <w:szCs w:val="20"/>
        </w:rPr>
        <w:t>i</w:t>
      </w:r>
      <w:proofErr w:type="spellEnd"/>
      <w:r w:rsidR="00C02044" w:rsidRPr="00FE1E9F">
        <w:rPr>
          <w:rFonts w:asciiTheme="minorHAnsi" w:hAnsiTheme="minorHAnsi" w:cstheme="minorHAnsi"/>
          <w:sz w:val="20"/>
          <w:szCs w:val="20"/>
        </w:rPr>
        <w:t>,</w:t>
      </w:r>
      <w:r w:rsidRPr="00FE1E9F">
        <w:rPr>
          <w:rFonts w:asciiTheme="minorHAnsi" w:hAnsiTheme="minorHAnsi" w:cstheme="minorHAnsi"/>
          <w:sz w:val="20"/>
          <w:szCs w:val="20"/>
        </w:rPr>
        <w:t xml:space="preserve"> ii, iii</w:t>
      </w:r>
      <w:r w:rsidR="00722144" w:rsidRPr="00FE1E9F">
        <w:rPr>
          <w:rFonts w:asciiTheme="minorHAnsi" w:hAnsiTheme="minorHAnsi" w:cstheme="minorHAnsi"/>
          <w:sz w:val="20"/>
          <w:szCs w:val="20"/>
        </w:rPr>
        <w:t xml:space="preserve"> &amp; iv</w:t>
      </w:r>
      <w:r w:rsidRPr="00FE1E9F">
        <w:rPr>
          <w:rFonts w:asciiTheme="minorHAnsi" w:hAnsiTheme="minorHAnsi" w:cstheme="minorHAnsi"/>
          <w:sz w:val="20"/>
          <w:szCs w:val="20"/>
        </w:rPr>
        <w:t>) in Excel format (2016 or later).</w:t>
      </w:r>
      <w:r w:rsidR="00B607BF" w:rsidRPr="00FE1E9F">
        <w:rPr>
          <w:rFonts w:asciiTheme="minorHAnsi" w:hAnsiTheme="minorHAnsi" w:cstheme="minorHAnsi"/>
          <w:sz w:val="20"/>
          <w:szCs w:val="20"/>
        </w:rPr>
        <w:t xml:space="preserve"> </w:t>
      </w:r>
    </w:p>
    <w:p w14:paraId="53926A10" w14:textId="5EE0A720" w:rsidR="00C41251" w:rsidRPr="00FE1E9F" w:rsidRDefault="00C41251" w:rsidP="000A6A94">
      <w:pPr>
        <w:pStyle w:val="LightGrid-Accent31"/>
        <w:numPr>
          <w:ilvl w:val="0"/>
          <w:numId w:val="22"/>
        </w:numPr>
        <w:spacing w:after="200" w:line="276" w:lineRule="auto"/>
        <w:jc w:val="both"/>
        <w:rPr>
          <w:rFonts w:asciiTheme="minorHAnsi" w:hAnsiTheme="minorHAnsi" w:cstheme="minorHAnsi"/>
          <w:b/>
          <w:bCs/>
          <w:sz w:val="20"/>
          <w:szCs w:val="20"/>
        </w:rPr>
      </w:pPr>
      <w:r w:rsidRPr="00FE1E9F">
        <w:rPr>
          <w:rFonts w:asciiTheme="minorHAnsi" w:hAnsiTheme="minorHAnsi" w:cstheme="minorHAnsi"/>
          <w:sz w:val="20"/>
          <w:szCs w:val="20"/>
        </w:rPr>
        <w:t>Proposals received after the submission deadline will not be accepted</w:t>
      </w:r>
      <w:r w:rsidR="001B107A" w:rsidRPr="00FE1E9F">
        <w:rPr>
          <w:rFonts w:asciiTheme="minorHAnsi" w:hAnsiTheme="minorHAnsi" w:cstheme="minorHAnsi"/>
          <w:sz w:val="20"/>
          <w:szCs w:val="20"/>
        </w:rPr>
        <w:t xml:space="preserve">. </w:t>
      </w:r>
      <w:r w:rsidRPr="00FE1E9F">
        <w:rPr>
          <w:rFonts w:asciiTheme="minorHAnsi" w:hAnsiTheme="minorHAnsi" w:cstheme="minorHAnsi"/>
          <w:b/>
          <w:bCs/>
          <w:sz w:val="20"/>
          <w:szCs w:val="20"/>
        </w:rPr>
        <w:t xml:space="preserve">DBJ reserves the right to extend the deadline for the submission of proposals. </w:t>
      </w:r>
    </w:p>
    <w:p w14:paraId="36721D47" w14:textId="77777777" w:rsidR="00C41251" w:rsidRDefault="00C41251" w:rsidP="000A6A94">
      <w:pPr>
        <w:pStyle w:val="LightGrid-Accent31"/>
        <w:spacing w:line="276" w:lineRule="auto"/>
        <w:jc w:val="both"/>
        <w:rPr>
          <w:rFonts w:asciiTheme="minorHAnsi" w:hAnsiTheme="minorHAnsi" w:cstheme="minorHAnsi"/>
          <w:sz w:val="20"/>
          <w:szCs w:val="20"/>
          <w:highlight w:val="yellow"/>
        </w:rPr>
      </w:pPr>
    </w:p>
    <w:p w14:paraId="3F583D4D" w14:textId="77777777" w:rsidR="00C41251" w:rsidRPr="00313A22" w:rsidRDefault="00C41251" w:rsidP="00C41251">
      <w:pPr>
        <w:pStyle w:val="LightGrid-Accent31"/>
        <w:spacing w:line="276" w:lineRule="auto"/>
        <w:rPr>
          <w:rFonts w:asciiTheme="minorHAnsi" w:hAnsiTheme="minorHAnsi" w:cstheme="minorHAnsi"/>
          <w:sz w:val="20"/>
          <w:szCs w:val="20"/>
          <w:highlight w:val="yellow"/>
        </w:rPr>
      </w:pPr>
    </w:p>
    <w:p w14:paraId="169424B7" w14:textId="77777777" w:rsidR="00627559" w:rsidRPr="00142369" w:rsidRDefault="00627559" w:rsidP="00142369">
      <w:pPr>
        <w:pStyle w:val="LightGrid-Accent31"/>
        <w:spacing w:line="276" w:lineRule="auto"/>
        <w:ind w:left="0"/>
        <w:rPr>
          <w:rFonts w:asciiTheme="minorHAnsi" w:hAnsiTheme="minorHAnsi" w:cstheme="minorHAnsi"/>
          <w:sz w:val="20"/>
          <w:szCs w:val="20"/>
        </w:rPr>
      </w:pPr>
    </w:p>
    <w:p w14:paraId="7342BE83" w14:textId="4E62435E" w:rsidR="00525E8A" w:rsidRDefault="00525E8A">
      <w:pPr>
        <w:spacing w:after="160" w:line="259" w:lineRule="auto"/>
        <w:rPr>
          <w:rFonts w:eastAsia="MS Mincho" w:cs="Arial"/>
          <w:b/>
          <w:sz w:val="20"/>
          <w:szCs w:val="20"/>
        </w:rPr>
      </w:pPr>
      <w:r>
        <w:rPr>
          <w:rFonts w:cs="Arial"/>
          <w:b/>
          <w:sz w:val="20"/>
          <w:szCs w:val="20"/>
        </w:rPr>
        <w:br w:type="page"/>
      </w:r>
    </w:p>
    <w:p w14:paraId="2ABF48CA" w14:textId="77777777" w:rsidR="00142369" w:rsidRDefault="00142369" w:rsidP="000C2D6C">
      <w:pPr>
        <w:pStyle w:val="LightGrid-Accent31"/>
        <w:spacing w:after="200" w:line="276" w:lineRule="auto"/>
        <w:ind w:left="0"/>
        <w:jc w:val="both"/>
        <w:rPr>
          <w:rFonts w:asciiTheme="minorHAnsi" w:hAnsiTheme="minorHAnsi" w:cs="Arial"/>
          <w:b/>
          <w:sz w:val="20"/>
          <w:szCs w:val="20"/>
        </w:rPr>
      </w:pPr>
    </w:p>
    <w:p w14:paraId="4283147C" w14:textId="77777777" w:rsidR="00E445B8" w:rsidRPr="00E244B6" w:rsidRDefault="00E445B8" w:rsidP="000C2D6C">
      <w:pPr>
        <w:pStyle w:val="LightGrid-Accent31"/>
        <w:numPr>
          <w:ilvl w:val="1"/>
          <w:numId w:val="1"/>
        </w:numPr>
        <w:spacing w:after="200" w:line="276" w:lineRule="auto"/>
        <w:jc w:val="both"/>
        <w:rPr>
          <w:rFonts w:asciiTheme="minorHAnsi" w:hAnsiTheme="minorHAnsi" w:cs="Arial"/>
          <w:b/>
          <w:sz w:val="20"/>
          <w:szCs w:val="20"/>
        </w:rPr>
      </w:pPr>
      <w:bookmarkStart w:id="36" w:name="_Toc429390667"/>
      <w:bookmarkStart w:id="37" w:name="_Toc31010190"/>
      <w:r w:rsidRPr="00E244B6">
        <w:rPr>
          <w:rStyle w:val="Heading2Char"/>
          <w:rFonts w:asciiTheme="minorHAnsi" w:hAnsiTheme="minorHAnsi"/>
        </w:rPr>
        <w:t>Confidentiality</w:t>
      </w:r>
      <w:bookmarkEnd w:id="36"/>
      <w:bookmarkEnd w:id="37"/>
    </w:p>
    <w:p w14:paraId="39B5A0C1" w14:textId="77777777" w:rsidR="00E445B8" w:rsidRPr="00E244B6" w:rsidRDefault="00E445B8" w:rsidP="000C2D6C">
      <w:pPr>
        <w:pStyle w:val="LightGrid-Accent31"/>
        <w:spacing w:after="200" w:line="276" w:lineRule="auto"/>
        <w:ind w:left="0"/>
        <w:jc w:val="both"/>
        <w:rPr>
          <w:rFonts w:asciiTheme="minorHAnsi" w:hAnsiTheme="minorHAnsi" w:cs="Arial"/>
          <w:b/>
          <w:sz w:val="20"/>
          <w:szCs w:val="20"/>
        </w:rPr>
      </w:pPr>
    </w:p>
    <w:p w14:paraId="29219AD0" w14:textId="4C7B36BB" w:rsidR="00636ADD" w:rsidRPr="00E244B6" w:rsidRDefault="00E445B8" w:rsidP="000C2D6C">
      <w:pPr>
        <w:pStyle w:val="LightGrid-Accent31"/>
        <w:spacing w:line="276" w:lineRule="auto"/>
        <w:jc w:val="both"/>
        <w:rPr>
          <w:rFonts w:asciiTheme="minorHAnsi" w:hAnsiTheme="minorHAnsi"/>
          <w:sz w:val="20"/>
          <w:szCs w:val="20"/>
        </w:rPr>
      </w:pPr>
      <w:r w:rsidRPr="00E244B6">
        <w:rPr>
          <w:rFonts w:asciiTheme="minorHAnsi" w:hAnsiTheme="minorHAnsi"/>
          <w:sz w:val="20"/>
          <w:szCs w:val="20"/>
        </w:rPr>
        <w:t xml:space="preserve">The </w:t>
      </w:r>
      <w:r w:rsidR="005D12D1">
        <w:rPr>
          <w:rFonts w:asciiTheme="minorHAnsi" w:hAnsiTheme="minorHAnsi"/>
          <w:sz w:val="20"/>
          <w:szCs w:val="20"/>
        </w:rPr>
        <w:t>Investor Panel</w:t>
      </w:r>
      <w:r w:rsidRPr="00E244B6">
        <w:rPr>
          <w:rFonts w:asciiTheme="minorHAnsi" w:hAnsiTheme="minorHAnsi"/>
          <w:sz w:val="20"/>
          <w:szCs w:val="20"/>
        </w:rPr>
        <w:t xml:space="preserve"> maintains strict confidentiality </w:t>
      </w:r>
      <w:r w:rsidR="0028275E">
        <w:rPr>
          <w:rFonts w:asciiTheme="minorHAnsi" w:hAnsiTheme="minorHAnsi"/>
          <w:sz w:val="20"/>
          <w:szCs w:val="20"/>
        </w:rPr>
        <w:t xml:space="preserve">standards </w:t>
      </w:r>
      <w:r w:rsidRPr="00E244B6">
        <w:rPr>
          <w:rFonts w:asciiTheme="minorHAnsi" w:hAnsiTheme="minorHAnsi"/>
          <w:sz w:val="20"/>
          <w:szCs w:val="20"/>
        </w:rPr>
        <w:t>with respect to all</w:t>
      </w:r>
      <w:r w:rsidR="0028275E" w:rsidRPr="00E244B6">
        <w:rPr>
          <w:rFonts w:asciiTheme="minorHAnsi" w:hAnsiTheme="minorHAnsi"/>
          <w:sz w:val="20"/>
          <w:szCs w:val="20"/>
        </w:rPr>
        <w:t xml:space="preserve"> </w:t>
      </w:r>
      <w:r w:rsidRPr="00E244B6">
        <w:rPr>
          <w:rFonts w:asciiTheme="minorHAnsi" w:hAnsiTheme="minorHAnsi"/>
          <w:sz w:val="20"/>
          <w:szCs w:val="20"/>
        </w:rPr>
        <w:t>confidential</w:t>
      </w:r>
      <w:r w:rsidR="0028275E">
        <w:rPr>
          <w:rFonts w:asciiTheme="minorHAnsi" w:hAnsiTheme="minorHAnsi"/>
          <w:sz w:val="20"/>
          <w:szCs w:val="20"/>
        </w:rPr>
        <w:t xml:space="preserve"> business</w:t>
      </w:r>
      <w:r w:rsidRPr="00E244B6">
        <w:rPr>
          <w:rFonts w:asciiTheme="minorHAnsi" w:hAnsiTheme="minorHAnsi"/>
          <w:sz w:val="20"/>
          <w:szCs w:val="20"/>
        </w:rPr>
        <w:t xml:space="preserve"> information in accordance </w:t>
      </w:r>
      <w:r w:rsidR="007B3E12">
        <w:rPr>
          <w:rFonts w:asciiTheme="minorHAnsi" w:hAnsiTheme="minorHAnsi"/>
          <w:sz w:val="20"/>
          <w:szCs w:val="20"/>
        </w:rPr>
        <w:t xml:space="preserve">with </w:t>
      </w:r>
      <w:r w:rsidRPr="00E244B6">
        <w:rPr>
          <w:rFonts w:asciiTheme="minorHAnsi" w:hAnsiTheme="minorHAnsi"/>
          <w:sz w:val="20"/>
          <w:szCs w:val="20"/>
        </w:rPr>
        <w:t>the common law and applicable statute. However</w:t>
      </w:r>
      <w:r w:rsidR="006E6EA7" w:rsidRPr="00E244B6">
        <w:rPr>
          <w:rFonts w:asciiTheme="minorHAnsi" w:hAnsiTheme="minorHAnsi"/>
          <w:sz w:val="20"/>
          <w:szCs w:val="20"/>
        </w:rPr>
        <w:t>,</w:t>
      </w:r>
      <w:r w:rsidRPr="00E244B6">
        <w:rPr>
          <w:rFonts w:asciiTheme="minorHAnsi" w:hAnsiTheme="minorHAnsi"/>
          <w:sz w:val="20"/>
          <w:szCs w:val="20"/>
        </w:rPr>
        <w:t xml:space="preserve"> the </w:t>
      </w:r>
      <w:r w:rsidR="005D12D1">
        <w:rPr>
          <w:rFonts w:asciiTheme="minorHAnsi" w:hAnsiTheme="minorHAnsi"/>
          <w:sz w:val="20"/>
          <w:szCs w:val="20"/>
        </w:rPr>
        <w:t>Investor Panel</w:t>
      </w:r>
      <w:r w:rsidRPr="00E244B6">
        <w:rPr>
          <w:rFonts w:asciiTheme="minorHAnsi" w:hAnsiTheme="minorHAnsi"/>
          <w:sz w:val="20"/>
          <w:szCs w:val="20"/>
        </w:rPr>
        <w:t xml:space="preserve"> will not treat as confidential or proprietary, general ideas and concepts contained within any Proposal. Any disclosure made will be in accordance with the Access to Information Act or pursuant to a court order or other process of the Court.</w:t>
      </w:r>
    </w:p>
    <w:p w14:paraId="725C7E90" w14:textId="77777777" w:rsidR="00E445B8" w:rsidRPr="00E244B6" w:rsidRDefault="00E445B8" w:rsidP="00625D6F">
      <w:pPr>
        <w:pStyle w:val="Heading1"/>
        <w:keepLines w:val="0"/>
        <w:numPr>
          <w:ilvl w:val="0"/>
          <w:numId w:val="8"/>
        </w:numPr>
        <w:spacing w:before="240" w:after="60"/>
        <w:rPr>
          <w:rFonts w:asciiTheme="minorHAnsi" w:hAnsiTheme="minorHAnsi"/>
          <w:color w:val="1F497D"/>
          <w:sz w:val="32"/>
          <w:szCs w:val="32"/>
        </w:rPr>
      </w:pPr>
      <w:bookmarkStart w:id="38" w:name="_Toc392698186"/>
      <w:bookmarkStart w:id="39" w:name="_Toc429390668"/>
      <w:bookmarkStart w:id="40" w:name="_Toc31010191"/>
      <w:r w:rsidRPr="00E244B6">
        <w:rPr>
          <w:rFonts w:asciiTheme="minorHAnsi" w:hAnsiTheme="minorHAnsi"/>
          <w:color w:val="1F497D"/>
        </w:rPr>
        <w:t>Evaluation Process</w:t>
      </w:r>
      <w:bookmarkEnd w:id="38"/>
      <w:bookmarkEnd w:id="39"/>
      <w:bookmarkEnd w:id="40"/>
    </w:p>
    <w:p w14:paraId="617040F6" w14:textId="77777777" w:rsidR="00E445B8" w:rsidRPr="00E244B6" w:rsidRDefault="00E445B8" w:rsidP="00625D6F">
      <w:pPr>
        <w:pStyle w:val="Heading2"/>
        <w:numPr>
          <w:ilvl w:val="1"/>
          <w:numId w:val="9"/>
        </w:numPr>
        <w:spacing w:line="276" w:lineRule="auto"/>
        <w:ind w:left="900"/>
        <w:rPr>
          <w:rFonts w:asciiTheme="minorHAnsi" w:hAnsiTheme="minorHAnsi"/>
        </w:rPr>
      </w:pPr>
      <w:bookmarkStart w:id="41" w:name="_Toc429390669"/>
      <w:bookmarkStart w:id="42" w:name="_Toc31010192"/>
      <w:r w:rsidRPr="00E244B6">
        <w:rPr>
          <w:rFonts w:asciiTheme="minorHAnsi" w:hAnsiTheme="minorHAnsi"/>
        </w:rPr>
        <w:t>Outline of Evaluation Process</w:t>
      </w:r>
      <w:bookmarkEnd w:id="41"/>
      <w:bookmarkEnd w:id="42"/>
    </w:p>
    <w:p w14:paraId="2A7917E0" w14:textId="0C7D9E4A" w:rsidR="00E445B8" w:rsidRPr="00E244B6" w:rsidRDefault="00E445B8" w:rsidP="000C2D6C">
      <w:pPr>
        <w:ind w:left="720"/>
        <w:rPr>
          <w:sz w:val="20"/>
          <w:szCs w:val="20"/>
          <w:lang w:val="en-GB"/>
        </w:rPr>
      </w:pPr>
      <w:r w:rsidRPr="00E244B6">
        <w:rPr>
          <w:sz w:val="20"/>
          <w:szCs w:val="20"/>
          <w:lang w:val="en-GB"/>
        </w:rPr>
        <w:t>Proposals will be evaluated in a two</w:t>
      </w:r>
      <w:r w:rsidR="00FC42C7">
        <w:rPr>
          <w:sz w:val="20"/>
          <w:szCs w:val="20"/>
          <w:lang w:val="en-GB"/>
        </w:rPr>
        <w:t>-</w:t>
      </w:r>
      <w:r w:rsidRPr="00E244B6">
        <w:rPr>
          <w:sz w:val="20"/>
          <w:szCs w:val="20"/>
          <w:lang w:val="en-GB"/>
        </w:rPr>
        <w:t xml:space="preserve">stage process. The first stage is a pre-qualification stage and examines whether the Proposal meets the minimum requirements to be submitted to the </w:t>
      </w:r>
      <w:r w:rsidR="005D12D1">
        <w:rPr>
          <w:sz w:val="20"/>
          <w:szCs w:val="20"/>
          <w:lang w:val="en-GB"/>
        </w:rPr>
        <w:t>Investor Panel</w:t>
      </w:r>
      <w:r w:rsidRPr="00E244B6">
        <w:rPr>
          <w:sz w:val="20"/>
          <w:szCs w:val="20"/>
          <w:lang w:val="en-GB"/>
        </w:rPr>
        <w:t xml:space="preserve"> for the second stage.</w:t>
      </w:r>
      <w:r w:rsidR="00636ADD">
        <w:rPr>
          <w:sz w:val="20"/>
          <w:szCs w:val="20"/>
          <w:lang w:val="en-GB"/>
        </w:rPr>
        <w:t xml:space="preserve"> </w:t>
      </w:r>
    </w:p>
    <w:p w14:paraId="0295C58B" w14:textId="6A441B9D" w:rsidR="00E445B8" w:rsidRPr="00E244B6" w:rsidRDefault="00E445B8" w:rsidP="000C2D6C">
      <w:pPr>
        <w:ind w:left="720"/>
        <w:rPr>
          <w:sz w:val="20"/>
          <w:szCs w:val="20"/>
          <w:lang w:val="en-GB"/>
        </w:rPr>
      </w:pPr>
      <w:r w:rsidRPr="00E244B6">
        <w:rPr>
          <w:sz w:val="20"/>
          <w:szCs w:val="20"/>
          <w:lang w:val="en-GB"/>
        </w:rPr>
        <w:t xml:space="preserve">The second stage involves an assessment of the pre-qualified Proposals by the </w:t>
      </w:r>
      <w:r w:rsidR="005D12D1">
        <w:rPr>
          <w:sz w:val="20"/>
          <w:szCs w:val="20"/>
          <w:lang w:val="en-GB"/>
        </w:rPr>
        <w:t>Investor Panel</w:t>
      </w:r>
      <w:r w:rsidRPr="00E244B6">
        <w:rPr>
          <w:sz w:val="20"/>
          <w:szCs w:val="20"/>
          <w:lang w:val="en-GB"/>
        </w:rPr>
        <w:t xml:space="preserve"> and includes a presentation to the </w:t>
      </w:r>
      <w:r w:rsidR="005D12D1">
        <w:rPr>
          <w:sz w:val="20"/>
          <w:szCs w:val="20"/>
          <w:lang w:val="en-GB"/>
        </w:rPr>
        <w:t>Investor Panel</w:t>
      </w:r>
      <w:r w:rsidRPr="00E244B6">
        <w:rPr>
          <w:sz w:val="20"/>
          <w:szCs w:val="20"/>
          <w:lang w:val="en-GB"/>
        </w:rPr>
        <w:t xml:space="preserve"> by the Applicant appearing in person</w:t>
      </w:r>
      <w:r w:rsidR="00103D39">
        <w:rPr>
          <w:sz w:val="20"/>
          <w:szCs w:val="20"/>
          <w:lang w:val="en-GB"/>
        </w:rPr>
        <w:t xml:space="preserve"> or </w:t>
      </w:r>
      <w:r w:rsidR="00103D39" w:rsidRPr="00103D39">
        <w:rPr>
          <w:b/>
          <w:bCs/>
          <w:sz w:val="20"/>
          <w:szCs w:val="20"/>
        </w:rPr>
        <w:t xml:space="preserve">online via Microsoft Teams, Zoom or </w:t>
      </w:r>
      <w:r w:rsidR="00D00668" w:rsidRPr="00103D39">
        <w:rPr>
          <w:b/>
          <w:bCs/>
          <w:sz w:val="20"/>
          <w:szCs w:val="20"/>
        </w:rPr>
        <w:t>WebEx</w:t>
      </w:r>
      <w:r w:rsidRPr="00E244B6">
        <w:rPr>
          <w:sz w:val="20"/>
          <w:szCs w:val="20"/>
          <w:lang w:val="en-GB"/>
        </w:rPr>
        <w:t>.</w:t>
      </w:r>
    </w:p>
    <w:p w14:paraId="46C81ED1" w14:textId="7060D34F" w:rsidR="00E445B8" w:rsidRPr="00142369" w:rsidRDefault="00E445B8" w:rsidP="00142369">
      <w:pPr>
        <w:ind w:left="720"/>
        <w:rPr>
          <w:sz w:val="20"/>
          <w:szCs w:val="20"/>
          <w:lang w:val="en-GB"/>
        </w:rPr>
      </w:pPr>
      <w:r w:rsidRPr="00142369">
        <w:rPr>
          <w:sz w:val="20"/>
          <w:szCs w:val="20"/>
          <w:lang w:val="en-GB"/>
        </w:rPr>
        <w:t>The selection of the Applicant for detailed due diligence will be determined upon the conclusion of the second stage.</w:t>
      </w:r>
      <w:r w:rsidR="00036EE7" w:rsidRPr="00142369">
        <w:rPr>
          <w:sz w:val="20"/>
          <w:szCs w:val="20"/>
          <w:lang w:val="en-GB"/>
        </w:rPr>
        <w:t xml:space="preserve"> </w:t>
      </w:r>
    </w:p>
    <w:p w14:paraId="0653100C" w14:textId="77777777" w:rsidR="00E445B8" w:rsidRPr="00E244B6" w:rsidRDefault="00E445B8" w:rsidP="00625D6F">
      <w:pPr>
        <w:pStyle w:val="Heading2"/>
        <w:numPr>
          <w:ilvl w:val="1"/>
          <w:numId w:val="9"/>
        </w:numPr>
        <w:spacing w:line="276" w:lineRule="auto"/>
        <w:ind w:left="900"/>
        <w:rPr>
          <w:rFonts w:asciiTheme="minorHAnsi" w:hAnsiTheme="minorHAnsi" w:cs="Arial"/>
        </w:rPr>
      </w:pPr>
      <w:r w:rsidRPr="00E244B6">
        <w:rPr>
          <w:rFonts w:asciiTheme="minorHAnsi" w:hAnsiTheme="minorHAnsi"/>
        </w:rPr>
        <w:t xml:space="preserve"> </w:t>
      </w:r>
      <w:bookmarkStart w:id="43" w:name="_Toc429390670"/>
      <w:bookmarkStart w:id="44" w:name="_Toc31010193"/>
      <w:r w:rsidRPr="00E244B6">
        <w:rPr>
          <w:rFonts w:asciiTheme="minorHAnsi" w:hAnsiTheme="minorHAnsi"/>
        </w:rPr>
        <w:t>Stage 1: Pre-Qualification</w:t>
      </w:r>
      <w:bookmarkEnd w:id="43"/>
      <w:bookmarkEnd w:id="44"/>
    </w:p>
    <w:p w14:paraId="3B9B57DA" w14:textId="4952288A" w:rsidR="00E445B8" w:rsidRPr="00142369" w:rsidRDefault="00E445B8" w:rsidP="00142369">
      <w:pPr>
        <w:ind w:left="720"/>
        <w:jc w:val="both"/>
        <w:rPr>
          <w:color w:val="FF0000"/>
          <w:sz w:val="20"/>
          <w:szCs w:val="20"/>
        </w:rPr>
      </w:pPr>
      <w:r w:rsidRPr="00E244B6">
        <w:rPr>
          <w:sz w:val="20"/>
          <w:szCs w:val="20"/>
        </w:rPr>
        <w:t xml:space="preserve">The first phase for analyzing the </w:t>
      </w:r>
      <w:r w:rsidRPr="00E244B6">
        <w:rPr>
          <w:b/>
          <w:sz w:val="20"/>
          <w:szCs w:val="20"/>
        </w:rPr>
        <w:t>Proposal</w:t>
      </w:r>
      <w:r w:rsidRPr="00E244B6">
        <w:rPr>
          <w:sz w:val="20"/>
          <w:szCs w:val="20"/>
        </w:rPr>
        <w:t xml:space="preserve"> will consist of establishing its pre-qualification based on items </w:t>
      </w:r>
      <w:r w:rsidRPr="00142369">
        <w:rPr>
          <w:sz w:val="20"/>
          <w:szCs w:val="20"/>
        </w:rPr>
        <w:t xml:space="preserve">detailed in </w:t>
      </w:r>
      <w:r w:rsidR="00EE4D99" w:rsidRPr="00142369">
        <w:rPr>
          <w:sz w:val="20"/>
          <w:szCs w:val="20"/>
        </w:rPr>
        <w:t>Paragraph</w:t>
      </w:r>
      <w:r w:rsidRPr="00142369">
        <w:rPr>
          <w:sz w:val="20"/>
          <w:szCs w:val="20"/>
        </w:rPr>
        <w:t>s 2.1 and 2.2 of this CFP</w:t>
      </w:r>
      <w:r w:rsidR="008A0D88" w:rsidRPr="00142369">
        <w:rPr>
          <w:sz w:val="20"/>
          <w:szCs w:val="20"/>
        </w:rPr>
        <w:t xml:space="preserve">. </w:t>
      </w:r>
      <w:r w:rsidRPr="00142369">
        <w:rPr>
          <w:sz w:val="20"/>
          <w:szCs w:val="20"/>
        </w:rPr>
        <w:t>Failure to comply with the requirements in Items 2.1 and 2.2 and the deadline outlined in Item 2.3 will result in the rejection of the Proposal.</w:t>
      </w:r>
      <w:r w:rsidRPr="00142369">
        <w:rPr>
          <w:color w:val="FF0000"/>
          <w:sz w:val="20"/>
          <w:szCs w:val="20"/>
        </w:rPr>
        <w:t xml:space="preserve"> </w:t>
      </w:r>
      <w:bookmarkStart w:id="45" w:name="_Hlk30059403"/>
      <w:r w:rsidR="00142369" w:rsidRPr="00142369">
        <w:rPr>
          <w:sz w:val="20"/>
          <w:szCs w:val="20"/>
        </w:rPr>
        <w:t>(</w:t>
      </w:r>
      <w:r w:rsidR="00EB277E" w:rsidRPr="00142369">
        <w:rPr>
          <w:sz w:val="20"/>
          <w:szCs w:val="20"/>
          <w:lang w:val="en-GB"/>
        </w:rPr>
        <w:t>See preliminary Screening form for applications in A</w:t>
      </w:r>
      <w:r w:rsidR="00036EE7" w:rsidRPr="00142369">
        <w:rPr>
          <w:sz w:val="20"/>
          <w:szCs w:val="20"/>
          <w:lang w:val="en-GB"/>
        </w:rPr>
        <w:t>ppendices</w:t>
      </w:r>
      <w:r w:rsidR="00142369" w:rsidRPr="00142369">
        <w:rPr>
          <w:sz w:val="20"/>
          <w:szCs w:val="20"/>
          <w:lang w:val="en-GB"/>
        </w:rPr>
        <w:t>)</w:t>
      </w:r>
      <w:r w:rsidR="00EB277E" w:rsidRPr="00142369">
        <w:rPr>
          <w:sz w:val="20"/>
          <w:szCs w:val="20"/>
          <w:lang w:val="en-GB"/>
        </w:rPr>
        <w:t>.</w:t>
      </w:r>
      <w:bookmarkEnd w:id="45"/>
    </w:p>
    <w:p w14:paraId="51862893" w14:textId="1200A10E" w:rsidR="00E445B8" w:rsidRPr="00E244B6" w:rsidRDefault="00E445B8" w:rsidP="000C2D6C">
      <w:pPr>
        <w:ind w:left="720"/>
        <w:jc w:val="both"/>
        <w:rPr>
          <w:sz w:val="20"/>
          <w:szCs w:val="20"/>
        </w:rPr>
      </w:pPr>
      <w:r w:rsidRPr="00E244B6">
        <w:rPr>
          <w:sz w:val="20"/>
          <w:szCs w:val="20"/>
        </w:rPr>
        <w:t xml:space="preserve">The </w:t>
      </w:r>
      <w:r w:rsidR="00F25A50">
        <w:rPr>
          <w:sz w:val="20"/>
          <w:szCs w:val="20"/>
        </w:rPr>
        <w:t>results</w:t>
      </w:r>
      <w:r w:rsidRPr="00E244B6">
        <w:rPr>
          <w:sz w:val="20"/>
          <w:szCs w:val="20"/>
        </w:rPr>
        <w:t xml:space="preserve"> of the pre-qualification </w:t>
      </w:r>
      <w:r w:rsidR="00F25A50">
        <w:rPr>
          <w:sz w:val="20"/>
          <w:szCs w:val="20"/>
        </w:rPr>
        <w:t>assessment</w:t>
      </w:r>
      <w:r w:rsidR="00F25A50" w:rsidRPr="00E244B6">
        <w:rPr>
          <w:sz w:val="20"/>
          <w:szCs w:val="20"/>
        </w:rPr>
        <w:t xml:space="preserve"> </w:t>
      </w:r>
      <w:r w:rsidR="00F21099" w:rsidRPr="00E244B6">
        <w:rPr>
          <w:sz w:val="20"/>
          <w:szCs w:val="20"/>
        </w:rPr>
        <w:t xml:space="preserve">will be </w:t>
      </w:r>
      <w:r w:rsidR="00F21099">
        <w:rPr>
          <w:sz w:val="20"/>
          <w:szCs w:val="20"/>
        </w:rPr>
        <w:t>sent</w:t>
      </w:r>
      <w:r w:rsidR="00F21099" w:rsidRPr="00E244B6">
        <w:rPr>
          <w:sz w:val="20"/>
          <w:szCs w:val="20"/>
        </w:rPr>
        <w:t xml:space="preserve"> electronically</w:t>
      </w:r>
      <w:r w:rsidR="00EE4D99">
        <w:rPr>
          <w:sz w:val="20"/>
          <w:szCs w:val="20"/>
        </w:rPr>
        <w:t xml:space="preserve"> </w:t>
      </w:r>
      <w:r w:rsidRPr="00E244B6">
        <w:rPr>
          <w:sz w:val="20"/>
          <w:szCs w:val="20"/>
        </w:rPr>
        <w:t>to the email address submitted in the Proposal</w:t>
      </w:r>
      <w:r w:rsidR="00C02044" w:rsidRPr="00E244B6">
        <w:rPr>
          <w:sz w:val="20"/>
          <w:szCs w:val="20"/>
        </w:rPr>
        <w:t xml:space="preserve">. </w:t>
      </w:r>
      <w:r w:rsidRPr="00E244B6">
        <w:rPr>
          <w:sz w:val="20"/>
          <w:szCs w:val="20"/>
        </w:rPr>
        <w:t>It is the Applicant’s responsibility to submit and maintain relevant and up-to-date contact information.</w:t>
      </w:r>
    </w:p>
    <w:p w14:paraId="094C283E" w14:textId="0666D1B1" w:rsidR="00EB277E" w:rsidRPr="00E244B6" w:rsidRDefault="00E445B8" w:rsidP="000C2D6C">
      <w:pPr>
        <w:ind w:left="720"/>
        <w:jc w:val="both"/>
        <w:rPr>
          <w:rFonts w:cs="Arial"/>
          <w:sz w:val="20"/>
          <w:szCs w:val="20"/>
        </w:rPr>
      </w:pPr>
      <w:r w:rsidRPr="00E244B6">
        <w:rPr>
          <w:sz w:val="20"/>
          <w:szCs w:val="20"/>
        </w:rPr>
        <w:t xml:space="preserve">The </w:t>
      </w:r>
      <w:r w:rsidR="009C7C41">
        <w:rPr>
          <w:sz w:val="20"/>
          <w:szCs w:val="20"/>
        </w:rPr>
        <w:t xml:space="preserve">venue, </w:t>
      </w:r>
      <w:r w:rsidRPr="00E244B6">
        <w:rPr>
          <w:sz w:val="20"/>
          <w:szCs w:val="20"/>
        </w:rPr>
        <w:t>date</w:t>
      </w:r>
      <w:r w:rsidR="009C7C41">
        <w:rPr>
          <w:sz w:val="20"/>
          <w:szCs w:val="20"/>
        </w:rPr>
        <w:t xml:space="preserve"> and time</w:t>
      </w:r>
      <w:r w:rsidR="00E46F84">
        <w:rPr>
          <w:sz w:val="20"/>
          <w:szCs w:val="20"/>
        </w:rPr>
        <w:t xml:space="preserve"> scheduled </w:t>
      </w:r>
      <w:r w:rsidRPr="00E244B6">
        <w:rPr>
          <w:sz w:val="20"/>
          <w:szCs w:val="20"/>
        </w:rPr>
        <w:t xml:space="preserve">for the </w:t>
      </w:r>
      <w:r w:rsidR="00DE1F17">
        <w:rPr>
          <w:sz w:val="20"/>
          <w:szCs w:val="20"/>
        </w:rPr>
        <w:t xml:space="preserve">Applicant’s </w:t>
      </w:r>
      <w:r w:rsidRPr="00E244B6">
        <w:rPr>
          <w:sz w:val="20"/>
          <w:szCs w:val="20"/>
        </w:rPr>
        <w:t xml:space="preserve">presentation to the </w:t>
      </w:r>
      <w:r w:rsidR="005D12D1">
        <w:rPr>
          <w:sz w:val="20"/>
          <w:szCs w:val="20"/>
        </w:rPr>
        <w:t>Investor Panel</w:t>
      </w:r>
      <w:r w:rsidRPr="00E244B6">
        <w:rPr>
          <w:sz w:val="20"/>
          <w:szCs w:val="20"/>
        </w:rPr>
        <w:t>, whe</w:t>
      </w:r>
      <w:r w:rsidR="00A06ACF">
        <w:rPr>
          <w:sz w:val="20"/>
          <w:szCs w:val="20"/>
        </w:rPr>
        <w:t>re</w:t>
      </w:r>
      <w:r w:rsidRPr="00E244B6">
        <w:rPr>
          <w:sz w:val="20"/>
          <w:szCs w:val="20"/>
        </w:rPr>
        <w:t xml:space="preserve"> </w:t>
      </w:r>
      <w:r w:rsidR="00A06ACF">
        <w:rPr>
          <w:sz w:val="20"/>
          <w:szCs w:val="20"/>
        </w:rPr>
        <w:t>applicable</w:t>
      </w:r>
      <w:r w:rsidRPr="00E244B6">
        <w:rPr>
          <w:sz w:val="20"/>
          <w:szCs w:val="20"/>
        </w:rPr>
        <w:t>, will be</w:t>
      </w:r>
      <w:r w:rsidR="00A06ACF">
        <w:rPr>
          <w:sz w:val="20"/>
          <w:szCs w:val="20"/>
        </w:rPr>
        <w:t xml:space="preserve"> communicated</w:t>
      </w:r>
      <w:r w:rsidRPr="00E244B6">
        <w:rPr>
          <w:sz w:val="20"/>
          <w:szCs w:val="20"/>
        </w:rPr>
        <w:t xml:space="preserve"> </w:t>
      </w:r>
      <w:r w:rsidR="00A06ACF">
        <w:rPr>
          <w:sz w:val="20"/>
          <w:szCs w:val="20"/>
        </w:rPr>
        <w:t>via</w:t>
      </w:r>
      <w:r w:rsidRPr="00E244B6">
        <w:rPr>
          <w:sz w:val="20"/>
          <w:szCs w:val="20"/>
        </w:rPr>
        <w:t xml:space="preserve"> email to the email address submitted in the </w:t>
      </w:r>
      <w:r w:rsidR="00A06ACF">
        <w:rPr>
          <w:sz w:val="20"/>
          <w:szCs w:val="20"/>
        </w:rPr>
        <w:t xml:space="preserve">Applicant’s </w:t>
      </w:r>
      <w:r w:rsidRPr="00E244B6">
        <w:rPr>
          <w:sz w:val="20"/>
          <w:szCs w:val="20"/>
        </w:rPr>
        <w:t>Proposal.</w:t>
      </w:r>
      <w:r w:rsidRPr="00E244B6">
        <w:rPr>
          <w:rFonts w:cs="Arial"/>
          <w:sz w:val="20"/>
          <w:szCs w:val="20"/>
        </w:rPr>
        <w:t xml:space="preserve"> </w:t>
      </w:r>
    </w:p>
    <w:p w14:paraId="0CDC807B" w14:textId="7BA6439D" w:rsidR="00E445B8" w:rsidRPr="00E244B6" w:rsidRDefault="00E445B8" w:rsidP="00625D6F">
      <w:pPr>
        <w:pStyle w:val="Heading2"/>
        <w:numPr>
          <w:ilvl w:val="1"/>
          <w:numId w:val="9"/>
        </w:numPr>
        <w:spacing w:line="276" w:lineRule="auto"/>
        <w:ind w:left="900"/>
        <w:jc w:val="both"/>
        <w:rPr>
          <w:rFonts w:asciiTheme="minorHAnsi" w:hAnsiTheme="minorHAnsi"/>
        </w:rPr>
      </w:pPr>
      <w:bookmarkStart w:id="46" w:name="_Toc429390671"/>
      <w:bookmarkStart w:id="47" w:name="_Toc31010194"/>
      <w:r w:rsidRPr="00E244B6">
        <w:rPr>
          <w:rStyle w:val="Heading2Char"/>
          <w:rFonts w:asciiTheme="minorHAnsi" w:hAnsiTheme="minorHAnsi"/>
          <w:b/>
          <w:bCs/>
        </w:rPr>
        <w:t xml:space="preserve">Stage 2: Review by the </w:t>
      </w:r>
      <w:bookmarkEnd w:id="46"/>
      <w:r w:rsidR="005D12D1">
        <w:rPr>
          <w:rStyle w:val="Heading2Char"/>
          <w:rFonts w:asciiTheme="minorHAnsi" w:hAnsiTheme="minorHAnsi"/>
          <w:b/>
          <w:bCs/>
        </w:rPr>
        <w:t>Investor Panel</w:t>
      </w:r>
      <w:bookmarkEnd w:id="47"/>
    </w:p>
    <w:p w14:paraId="76F7FD1C" w14:textId="4F4BFA4D" w:rsidR="00E445B8" w:rsidRPr="00E244B6" w:rsidRDefault="00E445B8" w:rsidP="000C2D6C">
      <w:pPr>
        <w:ind w:left="720"/>
        <w:jc w:val="both"/>
        <w:rPr>
          <w:sz w:val="20"/>
          <w:szCs w:val="20"/>
          <w:lang w:val="en-GB"/>
        </w:rPr>
      </w:pPr>
      <w:r w:rsidRPr="00E244B6">
        <w:rPr>
          <w:sz w:val="20"/>
          <w:szCs w:val="20"/>
          <w:lang w:val="en-GB"/>
        </w:rPr>
        <w:t xml:space="preserve">The pre-qualified Proposals will be evaluated by the </w:t>
      </w:r>
      <w:r w:rsidR="005D12D1">
        <w:rPr>
          <w:sz w:val="20"/>
          <w:szCs w:val="20"/>
          <w:lang w:val="en-GB"/>
        </w:rPr>
        <w:t>Investor Panel</w:t>
      </w:r>
      <w:r w:rsidRPr="00E244B6">
        <w:rPr>
          <w:sz w:val="20"/>
          <w:szCs w:val="20"/>
          <w:lang w:val="en-GB"/>
        </w:rPr>
        <w:t xml:space="preserve"> and specially invited advisors</w:t>
      </w:r>
      <w:r w:rsidR="00906F80" w:rsidRPr="00E244B6">
        <w:rPr>
          <w:sz w:val="20"/>
          <w:szCs w:val="20"/>
          <w:lang w:val="en-GB"/>
        </w:rPr>
        <w:t xml:space="preserve">. </w:t>
      </w:r>
      <w:r w:rsidRPr="00E244B6">
        <w:rPr>
          <w:sz w:val="20"/>
          <w:szCs w:val="20"/>
          <w:lang w:val="en-GB"/>
        </w:rPr>
        <w:t xml:space="preserve">The presentation to the </w:t>
      </w:r>
      <w:r w:rsidR="005D12D1">
        <w:rPr>
          <w:sz w:val="20"/>
          <w:szCs w:val="20"/>
          <w:lang w:val="en-GB"/>
        </w:rPr>
        <w:t>Investor Panel</w:t>
      </w:r>
      <w:r w:rsidRPr="00E244B6">
        <w:rPr>
          <w:sz w:val="20"/>
          <w:szCs w:val="20"/>
          <w:lang w:val="en-GB"/>
        </w:rPr>
        <w:t xml:space="preserve"> should be prepared in format PPT, PPTX or PDF with a maximum of 12 slides and should be submitted to the email: </w:t>
      </w:r>
      <w:bookmarkStart w:id="48" w:name="_Hlk26865636"/>
      <w:r w:rsidR="00B25D7A" w:rsidRPr="00906F80">
        <w:rPr>
          <w:rFonts w:cs="Arial"/>
          <w:b/>
          <w:i/>
          <w:sz w:val="20"/>
          <w:szCs w:val="20"/>
        </w:rPr>
        <w:fldChar w:fldCharType="begin"/>
      </w:r>
      <w:r w:rsidR="00B25D7A" w:rsidRPr="00906F80">
        <w:rPr>
          <w:rFonts w:cs="Arial"/>
          <w:b/>
          <w:i/>
          <w:sz w:val="20"/>
          <w:szCs w:val="20"/>
        </w:rPr>
        <w:instrText xml:space="preserve"> HYPERLINK "mailto:accesstofinance@dbankjm.com" </w:instrText>
      </w:r>
      <w:r w:rsidR="00B25D7A" w:rsidRPr="00906F80">
        <w:rPr>
          <w:rFonts w:cs="Arial"/>
          <w:b/>
          <w:i/>
          <w:sz w:val="20"/>
          <w:szCs w:val="20"/>
        </w:rPr>
        <w:fldChar w:fldCharType="separate"/>
      </w:r>
      <w:r w:rsidR="00B25D7A" w:rsidRPr="00906F80">
        <w:rPr>
          <w:rStyle w:val="Hyperlink"/>
          <w:rFonts w:asciiTheme="minorHAnsi" w:hAnsiTheme="minorHAnsi" w:cs="Arial"/>
          <w:b/>
          <w:i/>
          <w:sz w:val="20"/>
          <w:szCs w:val="20"/>
        </w:rPr>
        <w:t>accesstofinance@dbankjm.com</w:t>
      </w:r>
      <w:r w:rsidR="00B25D7A" w:rsidRPr="00906F80">
        <w:rPr>
          <w:rFonts w:cs="Arial"/>
          <w:b/>
          <w:i/>
          <w:sz w:val="20"/>
          <w:szCs w:val="20"/>
        </w:rPr>
        <w:fldChar w:fldCharType="end"/>
      </w:r>
      <w:r w:rsidR="00B25D7A" w:rsidRPr="00567CF7">
        <w:rPr>
          <w:rFonts w:cs="Arial"/>
          <w:b/>
          <w:i/>
          <w:sz w:val="20"/>
          <w:szCs w:val="20"/>
        </w:rPr>
        <w:t xml:space="preserve"> </w:t>
      </w:r>
      <w:r w:rsidRPr="00567CF7">
        <w:rPr>
          <w:sz w:val="20"/>
          <w:szCs w:val="20"/>
          <w:lang w:val="en-GB"/>
        </w:rPr>
        <w:t>a</w:t>
      </w:r>
      <w:r w:rsidRPr="00E244B6">
        <w:rPr>
          <w:sz w:val="20"/>
          <w:szCs w:val="20"/>
          <w:lang w:val="en-GB"/>
        </w:rPr>
        <w:t xml:space="preserve">t </w:t>
      </w:r>
      <w:bookmarkEnd w:id="48"/>
      <w:r w:rsidRPr="00E244B6">
        <w:rPr>
          <w:sz w:val="20"/>
          <w:szCs w:val="20"/>
          <w:lang w:val="en-GB"/>
        </w:rPr>
        <w:t>least five (5) days in advance of the presentation date.</w:t>
      </w:r>
    </w:p>
    <w:p w14:paraId="22B604AD" w14:textId="5BC226CA" w:rsidR="00E445B8" w:rsidRPr="00E244B6" w:rsidRDefault="00A26281" w:rsidP="000C2D6C">
      <w:pPr>
        <w:ind w:left="720"/>
        <w:jc w:val="both"/>
        <w:rPr>
          <w:sz w:val="20"/>
          <w:szCs w:val="20"/>
          <w:lang w:val="en-GB"/>
        </w:rPr>
      </w:pPr>
      <w:r>
        <w:rPr>
          <w:sz w:val="20"/>
          <w:szCs w:val="20"/>
          <w:lang w:val="en-GB"/>
        </w:rPr>
        <w:t>The d</w:t>
      </w:r>
      <w:r w:rsidRPr="00E244B6">
        <w:rPr>
          <w:sz w:val="20"/>
          <w:szCs w:val="20"/>
          <w:lang w:val="en-GB"/>
        </w:rPr>
        <w:t xml:space="preserve">istribution </w:t>
      </w:r>
      <w:r w:rsidR="00E445B8" w:rsidRPr="00E244B6">
        <w:rPr>
          <w:sz w:val="20"/>
          <w:szCs w:val="20"/>
          <w:lang w:val="en-GB"/>
        </w:rPr>
        <w:t xml:space="preserve">of </w:t>
      </w:r>
      <w:r w:rsidR="00C94A2A">
        <w:rPr>
          <w:sz w:val="20"/>
          <w:szCs w:val="20"/>
          <w:lang w:val="en-GB"/>
        </w:rPr>
        <w:t>printed</w:t>
      </w:r>
      <w:r w:rsidR="00600541">
        <w:rPr>
          <w:sz w:val="20"/>
          <w:szCs w:val="20"/>
          <w:lang w:val="en-GB"/>
        </w:rPr>
        <w:t xml:space="preserve"> </w:t>
      </w:r>
      <w:r w:rsidR="00E445B8" w:rsidRPr="00E244B6">
        <w:rPr>
          <w:sz w:val="20"/>
          <w:szCs w:val="20"/>
          <w:lang w:val="en-GB"/>
        </w:rPr>
        <w:t>copies of the presentation to the</w:t>
      </w:r>
      <w:r w:rsidR="00B25D7A">
        <w:rPr>
          <w:sz w:val="20"/>
          <w:szCs w:val="20"/>
          <w:lang w:val="en-GB"/>
        </w:rPr>
        <w:t xml:space="preserve"> </w:t>
      </w:r>
      <w:r w:rsidR="005D12D1">
        <w:rPr>
          <w:sz w:val="20"/>
          <w:szCs w:val="20"/>
          <w:lang w:val="en-GB"/>
        </w:rPr>
        <w:t>Investor Panel</w:t>
      </w:r>
      <w:r w:rsidR="00E445B8" w:rsidRPr="00E244B6">
        <w:rPr>
          <w:sz w:val="20"/>
          <w:szCs w:val="20"/>
          <w:lang w:val="en-GB"/>
        </w:rPr>
        <w:t xml:space="preserve"> by the Applicant is permissible.</w:t>
      </w:r>
    </w:p>
    <w:p w14:paraId="1C3D89AF" w14:textId="055D70EA" w:rsidR="00B607BF" w:rsidRPr="006451B6" w:rsidRDefault="00E445B8" w:rsidP="00B607BF">
      <w:pPr>
        <w:pStyle w:val="LightGrid-Accent31"/>
        <w:spacing w:line="276" w:lineRule="auto"/>
        <w:rPr>
          <w:rFonts w:asciiTheme="minorHAnsi" w:hAnsiTheme="minorHAnsi" w:cstheme="minorHAnsi"/>
          <w:b/>
          <w:bCs/>
          <w:sz w:val="20"/>
          <w:szCs w:val="20"/>
        </w:rPr>
      </w:pPr>
      <w:r w:rsidRPr="006451B6">
        <w:rPr>
          <w:rFonts w:asciiTheme="minorHAnsi" w:hAnsiTheme="minorHAnsi" w:cstheme="minorHAnsi"/>
          <w:sz w:val="20"/>
          <w:szCs w:val="20"/>
          <w:lang w:val="en-GB"/>
        </w:rPr>
        <w:t xml:space="preserve">Failure of the Applicant to appear </w:t>
      </w:r>
      <w:r w:rsidR="00600541" w:rsidRPr="006451B6">
        <w:rPr>
          <w:rFonts w:asciiTheme="minorHAnsi" w:hAnsiTheme="minorHAnsi" w:cstheme="minorHAnsi"/>
          <w:sz w:val="20"/>
          <w:szCs w:val="20"/>
          <w:lang w:val="en-GB"/>
        </w:rPr>
        <w:t>at the schedule</w:t>
      </w:r>
      <w:r w:rsidR="00F21099">
        <w:rPr>
          <w:rFonts w:asciiTheme="minorHAnsi" w:hAnsiTheme="minorHAnsi" w:cstheme="minorHAnsi"/>
          <w:sz w:val="20"/>
          <w:szCs w:val="20"/>
          <w:lang w:val="en-GB"/>
        </w:rPr>
        <w:t>d</w:t>
      </w:r>
      <w:r w:rsidR="00600541" w:rsidRPr="006451B6">
        <w:rPr>
          <w:rFonts w:asciiTheme="minorHAnsi" w:hAnsiTheme="minorHAnsi" w:cstheme="minorHAnsi"/>
          <w:sz w:val="20"/>
          <w:szCs w:val="20"/>
          <w:lang w:val="en-GB"/>
        </w:rPr>
        <w:t xml:space="preserve"> meeting as advised </w:t>
      </w:r>
      <w:r w:rsidR="00BF1227" w:rsidRPr="006451B6">
        <w:rPr>
          <w:rFonts w:asciiTheme="minorHAnsi" w:hAnsiTheme="minorHAnsi" w:cstheme="minorHAnsi"/>
          <w:sz w:val="20"/>
          <w:szCs w:val="20"/>
          <w:lang w:val="en-GB"/>
        </w:rPr>
        <w:t>in</w:t>
      </w:r>
      <w:r w:rsidRPr="006451B6">
        <w:rPr>
          <w:rFonts w:asciiTheme="minorHAnsi" w:hAnsiTheme="minorHAnsi" w:cstheme="minorHAnsi"/>
          <w:sz w:val="20"/>
          <w:szCs w:val="20"/>
          <w:lang w:val="en-GB"/>
        </w:rPr>
        <w:t xml:space="preserve"> the manner </w:t>
      </w:r>
      <w:r w:rsidR="00991BE8" w:rsidRPr="006451B6">
        <w:rPr>
          <w:rFonts w:asciiTheme="minorHAnsi" w:hAnsiTheme="minorHAnsi" w:cstheme="minorHAnsi"/>
          <w:sz w:val="20"/>
          <w:szCs w:val="20"/>
          <w:lang w:val="en-GB"/>
        </w:rPr>
        <w:t>aforesaid will</w:t>
      </w:r>
      <w:r w:rsidRPr="006451B6">
        <w:rPr>
          <w:rFonts w:asciiTheme="minorHAnsi" w:hAnsiTheme="minorHAnsi" w:cstheme="minorHAnsi"/>
          <w:sz w:val="20"/>
          <w:szCs w:val="20"/>
          <w:lang w:val="en-GB"/>
        </w:rPr>
        <w:t xml:space="preserve"> be deemed to be a withdrawal by the Applicant from the evaluation process.</w:t>
      </w:r>
      <w:r w:rsidR="00B607BF" w:rsidRPr="00651146">
        <w:rPr>
          <w:rFonts w:asciiTheme="minorHAnsi" w:hAnsiTheme="minorHAnsi" w:cstheme="minorHAnsi"/>
          <w:sz w:val="20"/>
          <w:szCs w:val="20"/>
        </w:rPr>
        <w:t xml:space="preserve"> </w:t>
      </w:r>
      <w:bookmarkStart w:id="49" w:name="_Hlk41419017"/>
      <w:r w:rsidR="00B607BF" w:rsidRPr="00651146">
        <w:rPr>
          <w:rFonts w:asciiTheme="minorHAnsi" w:hAnsiTheme="minorHAnsi" w:cstheme="minorHAnsi"/>
          <w:b/>
          <w:bCs/>
          <w:sz w:val="20"/>
          <w:szCs w:val="20"/>
        </w:rPr>
        <w:t>(DBJ reserve</w:t>
      </w:r>
      <w:r w:rsidR="00DF68FA">
        <w:rPr>
          <w:rFonts w:asciiTheme="minorHAnsi" w:hAnsiTheme="minorHAnsi" w:cstheme="minorHAnsi"/>
          <w:b/>
          <w:bCs/>
          <w:sz w:val="20"/>
          <w:szCs w:val="20"/>
        </w:rPr>
        <w:t>s</w:t>
      </w:r>
      <w:r w:rsidR="00B607BF" w:rsidRPr="00651146">
        <w:rPr>
          <w:rFonts w:asciiTheme="minorHAnsi" w:hAnsiTheme="minorHAnsi" w:cstheme="minorHAnsi"/>
          <w:b/>
          <w:bCs/>
          <w:sz w:val="20"/>
          <w:szCs w:val="20"/>
        </w:rPr>
        <w:t xml:space="preserve"> the right to arrang</w:t>
      </w:r>
      <w:r w:rsidR="00B607BF" w:rsidRPr="008515C8">
        <w:rPr>
          <w:rFonts w:asciiTheme="minorHAnsi" w:hAnsiTheme="minorHAnsi" w:cstheme="minorHAnsi"/>
          <w:b/>
          <w:bCs/>
          <w:sz w:val="20"/>
          <w:szCs w:val="20"/>
        </w:rPr>
        <w:t>e such presentation online via Microsoft Teams, Zoom or WebE</w:t>
      </w:r>
      <w:r w:rsidR="00D00668" w:rsidRPr="008515C8">
        <w:rPr>
          <w:rFonts w:asciiTheme="minorHAnsi" w:hAnsiTheme="minorHAnsi" w:cstheme="minorHAnsi"/>
          <w:b/>
          <w:bCs/>
          <w:sz w:val="20"/>
          <w:szCs w:val="20"/>
        </w:rPr>
        <w:t>x</w:t>
      </w:r>
      <w:r w:rsidR="00B607BF" w:rsidRPr="008515C8">
        <w:rPr>
          <w:rFonts w:asciiTheme="minorHAnsi" w:hAnsiTheme="minorHAnsi" w:cstheme="minorHAnsi"/>
          <w:b/>
          <w:bCs/>
          <w:sz w:val="20"/>
          <w:szCs w:val="20"/>
        </w:rPr>
        <w:t xml:space="preserve"> etc.)</w:t>
      </w:r>
      <w:bookmarkEnd w:id="49"/>
    </w:p>
    <w:p w14:paraId="3BDE21D0" w14:textId="7FD7B425" w:rsidR="00E445B8" w:rsidRPr="006451B6" w:rsidRDefault="00E445B8" w:rsidP="000C2D6C">
      <w:pPr>
        <w:ind w:left="720"/>
        <w:jc w:val="both"/>
        <w:rPr>
          <w:sz w:val="20"/>
          <w:szCs w:val="20"/>
        </w:rPr>
      </w:pPr>
    </w:p>
    <w:p w14:paraId="53C3EE8B" w14:textId="4E9DDC7C" w:rsidR="00E445B8" w:rsidRPr="00E244B6" w:rsidRDefault="00E445B8" w:rsidP="00625D6F">
      <w:pPr>
        <w:pStyle w:val="Heading2"/>
        <w:numPr>
          <w:ilvl w:val="1"/>
          <w:numId w:val="9"/>
        </w:numPr>
        <w:spacing w:line="276" w:lineRule="auto"/>
        <w:ind w:left="900"/>
        <w:jc w:val="both"/>
        <w:rPr>
          <w:rFonts w:asciiTheme="minorHAnsi" w:hAnsiTheme="minorHAnsi"/>
        </w:rPr>
      </w:pPr>
      <w:bookmarkStart w:id="50" w:name="_Toc429390672"/>
      <w:bookmarkStart w:id="51" w:name="_Toc31010195"/>
      <w:r w:rsidRPr="00E244B6">
        <w:rPr>
          <w:rFonts w:asciiTheme="minorHAnsi" w:hAnsiTheme="minorHAnsi"/>
        </w:rPr>
        <w:lastRenderedPageBreak/>
        <w:t xml:space="preserve">Decision of the </w:t>
      </w:r>
      <w:bookmarkEnd w:id="50"/>
      <w:r w:rsidR="005D12D1">
        <w:rPr>
          <w:rFonts w:asciiTheme="minorHAnsi" w:hAnsiTheme="minorHAnsi"/>
        </w:rPr>
        <w:t>Investor Panel</w:t>
      </w:r>
      <w:bookmarkEnd w:id="51"/>
    </w:p>
    <w:p w14:paraId="1EA33D5D"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p>
    <w:p w14:paraId="7775DDB7" w14:textId="32998199" w:rsidR="00E445B8" w:rsidRPr="00220734" w:rsidRDefault="00E445B8" w:rsidP="00625D6F">
      <w:pPr>
        <w:pStyle w:val="LightGrid-Accent31"/>
        <w:numPr>
          <w:ilvl w:val="0"/>
          <w:numId w:val="10"/>
        </w:numPr>
        <w:spacing w:after="200" w:line="276" w:lineRule="auto"/>
        <w:jc w:val="both"/>
        <w:rPr>
          <w:rFonts w:asciiTheme="minorHAnsi" w:hAnsiTheme="minorHAnsi" w:cs="Arial"/>
          <w:b/>
          <w:bCs/>
          <w:sz w:val="20"/>
          <w:szCs w:val="20"/>
        </w:rPr>
      </w:pPr>
      <w:r w:rsidRPr="00E244B6">
        <w:rPr>
          <w:rFonts w:asciiTheme="minorHAnsi" w:hAnsiTheme="minorHAnsi" w:cs="Arial"/>
          <w:sz w:val="20"/>
          <w:szCs w:val="20"/>
        </w:rPr>
        <w:t xml:space="preserve">The  </w:t>
      </w:r>
      <w:r w:rsidRPr="00E244B6">
        <w:rPr>
          <w:rFonts w:asciiTheme="minorHAnsi" w:hAnsiTheme="minorHAnsi" w:cs="Arial"/>
          <w:b/>
          <w:sz w:val="20"/>
          <w:szCs w:val="20"/>
        </w:rPr>
        <w:t xml:space="preserve"> Proposal</w:t>
      </w:r>
      <w:r w:rsidRPr="00E244B6">
        <w:rPr>
          <w:rFonts w:asciiTheme="minorHAnsi" w:hAnsiTheme="minorHAnsi" w:cs="Arial"/>
          <w:sz w:val="20"/>
          <w:szCs w:val="20"/>
        </w:rPr>
        <w:t xml:space="preserve"> will be analyzed by the </w:t>
      </w:r>
      <w:r w:rsidR="005D12D1">
        <w:rPr>
          <w:rFonts w:asciiTheme="minorHAnsi" w:hAnsiTheme="minorHAnsi" w:cs="Arial"/>
          <w:color w:val="000000"/>
          <w:sz w:val="20"/>
          <w:szCs w:val="20"/>
        </w:rPr>
        <w:t>Investor Panel</w:t>
      </w:r>
      <w:r w:rsidRPr="00E244B6">
        <w:rPr>
          <w:rFonts w:asciiTheme="minorHAnsi" w:hAnsiTheme="minorHAnsi" w:cs="Arial"/>
          <w:sz w:val="20"/>
          <w:szCs w:val="20"/>
        </w:rPr>
        <w:t xml:space="preserve"> based on the following criteria:</w:t>
      </w:r>
      <w:r w:rsidR="00220734">
        <w:rPr>
          <w:rFonts w:asciiTheme="minorHAnsi" w:hAnsiTheme="minorHAnsi" w:cs="Arial"/>
          <w:sz w:val="20"/>
          <w:szCs w:val="20"/>
        </w:rPr>
        <w:t xml:space="preserve"> </w:t>
      </w:r>
      <w:r w:rsidR="00220734" w:rsidRPr="00220734">
        <w:rPr>
          <w:rFonts w:asciiTheme="minorHAnsi" w:hAnsiTheme="minorHAnsi" w:cs="Arial"/>
          <w:sz w:val="20"/>
          <w:szCs w:val="20"/>
        </w:rPr>
        <w:t>(</w:t>
      </w:r>
      <w:r w:rsidR="00220734" w:rsidRPr="00220734">
        <w:rPr>
          <w:rFonts w:asciiTheme="minorHAnsi" w:hAnsiTheme="minorHAnsi" w:cs="Arial"/>
          <w:sz w:val="20"/>
          <w:szCs w:val="20"/>
          <w:lang w:val="en-GB"/>
        </w:rPr>
        <w:t xml:space="preserve">See Evaluation Methodology and Presentation Evaluation </w:t>
      </w:r>
      <w:r w:rsidR="00DF68FA" w:rsidRPr="00220734">
        <w:rPr>
          <w:rFonts w:asciiTheme="minorHAnsi" w:hAnsiTheme="minorHAnsi" w:cs="Arial"/>
          <w:sz w:val="20"/>
          <w:szCs w:val="20"/>
          <w:lang w:val="en-GB"/>
        </w:rPr>
        <w:t>Forms</w:t>
      </w:r>
      <w:r w:rsidR="00220734" w:rsidRPr="00220734">
        <w:rPr>
          <w:rFonts w:asciiTheme="minorHAnsi" w:hAnsiTheme="minorHAnsi" w:cs="Arial"/>
          <w:sz w:val="20"/>
          <w:szCs w:val="20"/>
          <w:lang w:val="en-GB"/>
        </w:rPr>
        <w:t xml:space="preserve"> in Appendices)</w:t>
      </w:r>
    </w:p>
    <w:p w14:paraId="7FC7B9E0" w14:textId="460D8D7E" w:rsidR="00E445B8" w:rsidRPr="00E244B6" w:rsidRDefault="00E445B8" w:rsidP="00625D6F">
      <w:pPr>
        <w:pStyle w:val="LightGrid-Accent31"/>
        <w:numPr>
          <w:ilvl w:val="0"/>
          <w:numId w:val="11"/>
        </w:numPr>
        <w:tabs>
          <w:tab w:val="left" w:pos="1800"/>
          <w:tab w:val="left" w:pos="2160"/>
        </w:tabs>
        <w:spacing w:after="200" w:line="276" w:lineRule="auto"/>
        <w:jc w:val="both"/>
        <w:rPr>
          <w:rFonts w:asciiTheme="minorHAnsi" w:hAnsiTheme="minorHAnsi" w:cs="Arial"/>
          <w:b/>
          <w:sz w:val="20"/>
          <w:szCs w:val="20"/>
        </w:rPr>
      </w:pPr>
      <w:r w:rsidRPr="00E244B6">
        <w:rPr>
          <w:rFonts w:asciiTheme="minorHAnsi" w:hAnsiTheme="minorHAnsi" w:cs="Arial"/>
          <w:sz w:val="20"/>
          <w:szCs w:val="20"/>
        </w:rPr>
        <w:t>Structure, clarity</w:t>
      </w:r>
      <w:r w:rsidR="00A26281">
        <w:rPr>
          <w:rFonts w:asciiTheme="minorHAnsi" w:hAnsiTheme="minorHAnsi" w:cs="Arial"/>
          <w:sz w:val="20"/>
          <w:szCs w:val="20"/>
        </w:rPr>
        <w:t>,</w:t>
      </w:r>
      <w:r w:rsidRPr="00E244B6">
        <w:rPr>
          <w:rFonts w:asciiTheme="minorHAnsi" w:hAnsiTheme="minorHAnsi" w:cs="Arial"/>
          <w:sz w:val="20"/>
          <w:szCs w:val="20"/>
        </w:rPr>
        <w:t xml:space="preserve"> and feasibility of the </w:t>
      </w:r>
      <w:r w:rsidRPr="00E244B6">
        <w:rPr>
          <w:rFonts w:asciiTheme="minorHAnsi" w:hAnsiTheme="minorHAnsi" w:cs="Arial"/>
          <w:b/>
          <w:sz w:val="20"/>
          <w:szCs w:val="20"/>
        </w:rPr>
        <w:t>Proposal</w:t>
      </w:r>
      <w:r w:rsidR="00DF68FA">
        <w:rPr>
          <w:rFonts w:asciiTheme="minorHAnsi" w:hAnsiTheme="minorHAnsi" w:cs="Arial"/>
          <w:b/>
          <w:sz w:val="20"/>
          <w:szCs w:val="20"/>
        </w:rPr>
        <w:t>.</w:t>
      </w:r>
    </w:p>
    <w:p w14:paraId="2C32C515" w14:textId="10F9FC7C" w:rsidR="00E445B8" w:rsidRPr="00E244B6" w:rsidRDefault="00E445B8" w:rsidP="00625D6F">
      <w:pPr>
        <w:pStyle w:val="LightGrid-Accent31"/>
        <w:numPr>
          <w:ilvl w:val="0"/>
          <w:numId w:val="11"/>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Clarity and consistency of the investment process and proposed exit strategy</w:t>
      </w:r>
      <w:r w:rsidR="00DF68FA">
        <w:rPr>
          <w:rFonts w:asciiTheme="minorHAnsi" w:hAnsiTheme="minorHAnsi" w:cs="Arial"/>
          <w:sz w:val="20"/>
          <w:szCs w:val="20"/>
        </w:rPr>
        <w:t>.</w:t>
      </w:r>
    </w:p>
    <w:p w14:paraId="32BF701A" w14:textId="6157CF20" w:rsidR="00E445B8" w:rsidRPr="00E244B6" w:rsidRDefault="00E445B8" w:rsidP="00625D6F">
      <w:pPr>
        <w:pStyle w:val="LightGrid-Accent31"/>
        <w:numPr>
          <w:ilvl w:val="0"/>
          <w:numId w:val="11"/>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Quality of the pipeline (prospects) that can be invested by the Fund</w:t>
      </w:r>
      <w:r w:rsidR="00DF68FA">
        <w:rPr>
          <w:rFonts w:asciiTheme="minorHAnsi" w:hAnsiTheme="minorHAnsi" w:cs="Arial"/>
          <w:sz w:val="20"/>
          <w:szCs w:val="20"/>
        </w:rPr>
        <w:t>.</w:t>
      </w:r>
    </w:p>
    <w:p w14:paraId="753C5522" w14:textId="00B1F3AB" w:rsidR="00E445B8" w:rsidRPr="00E244B6" w:rsidRDefault="00E445B8" w:rsidP="00625D6F">
      <w:pPr>
        <w:pStyle w:val="LightGrid-Accent31"/>
        <w:numPr>
          <w:ilvl w:val="0"/>
          <w:numId w:val="11"/>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Feasibility of the cost structure presented by the </w:t>
      </w:r>
      <w:r w:rsidRPr="00E244B6">
        <w:rPr>
          <w:rFonts w:asciiTheme="minorHAnsi" w:hAnsiTheme="minorHAnsi" w:cs="Arial"/>
          <w:b/>
          <w:sz w:val="20"/>
          <w:szCs w:val="20"/>
        </w:rPr>
        <w:t>Fund</w:t>
      </w:r>
      <w:r w:rsidRPr="00E244B6">
        <w:rPr>
          <w:rFonts w:asciiTheme="minorHAnsi" w:hAnsiTheme="minorHAnsi" w:cs="Arial"/>
          <w:sz w:val="20"/>
          <w:szCs w:val="20"/>
        </w:rPr>
        <w:t xml:space="preserve"> (administration fee, performance fee, expected rates of return for the investor, etc.)</w:t>
      </w:r>
      <w:r w:rsidR="00DF68FA">
        <w:rPr>
          <w:rFonts w:asciiTheme="minorHAnsi" w:hAnsiTheme="minorHAnsi" w:cs="Arial"/>
          <w:sz w:val="20"/>
          <w:szCs w:val="20"/>
        </w:rPr>
        <w:t>.</w:t>
      </w:r>
    </w:p>
    <w:p w14:paraId="269AE254" w14:textId="45DD8FF5" w:rsidR="00E445B8" w:rsidRPr="00E244B6" w:rsidRDefault="00E445B8" w:rsidP="00625D6F">
      <w:pPr>
        <w:pStyle w:val="LightGrid-Accent31"/>
        <w:numPr>
          <w:ilvl w:val="0"/>
          <w:numId w:val="11"/>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Qualification and previous experience of the management team of the</w:t>
      </w:r>
      <w:r w:rsidRPr="00E244B6">
        <w:rPr>
          <w:rFonts w:asciiTheme="minorHAnsi" w:hAnsiTheme="minorHAnsi" w:cs="Arial"/>
          <w:b/>
          <w:sz w:val="20"/>
          <w:szCs w:val="20"/>
        </w:rPr>
        <w:t xml:space="preserve"> Fund</w:t>
      </w:r>
      <w:r w:rsidR="00DF68FA">
        <w:rPr>
          <w:rFonts w:asciiTheme="minorHAnsi" w:hAnsiTheme="minorHAnsi" w:cs="Arial"/>
          <w:b/>
          <w:sz w:val="20"/>
          <w:szCs w:val="20"/>
        </w:rPr>
        <w:t>.</w:t>
      </w:r>
    </w:p>
    <w:p w14:paraId="1EE9766D" w14:textId="5FE8839E" w:rsidR="00E445B8" w:rsidRPr="00E244B6" w:rsidRDefault="00E445B8" w:rsidP="00625D6F">
      <w:pPr>
        <w:pStyle w:val="LightGrid-Accent31"/>
        <w:numPr>
          <w:ilvl w:val="0"/>
          <w:numId w:val="11"/>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Framework and process for monitoring of the </w:t>
      </w:r>
      <w:r w:rsidRPr="00E244B6">
        <w:rPr>
          <w:rFonts w:asciiTheme="minorHAnsi" w:hAnsiTheme="minorHAnsi" w:cs="Arial"/>
          <w:b/>
          <w:sz w:val="20"/>
          <w:szCs w:val="20"/>
        </w:rPr>
        <w:t>F</w:t>
      </w:r>
      <w:r w:rsidRPr="00E244B6">
        <w:rPr>
          <w:rFonts w:asciiTheme="minorHAnsi" w:hAnsiTheme="minorHAnsi" w:cs="Arial"/>
          <w:sz w:val="20"/>
          <w:szCs w:val="20"/>
        </w:rPr>
        <w:t>und and the companies and funds invested</w:t>
      </w:r>
      <w:r w:rsidR="00DF68FA">
        <w:rPr>
          <w:rFonts w:asciiTheme="minorHAnsi" w:hAnsiTheme="minorHAnsi" w:cs="Arial"/>
          <w:sz w:val="20"/>
          <w:szCs w:val="20"/>
        </w:rPr>
        <w:t>.</w:t>
      </w:r>
    </w:p>
    <w:p w14:paraId="62030CA3" w14:textId="042A09D8" w:rsidR="00BF1227" w:rsidRPr="0041749E" w:rsidRDefault="00E445B8" w:rsidP="00625D6F">
      <w:pPr>
        <w:pStyle w:val="LightGrid-Accent31"/>
        <w:numPr>
          <w:ilvl w:val="0"/>
          <w:numId w:val="11"/>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Eligibility and investment objective of each member of the </w:t>
      </w:r>
      <w:r w:rsidR="005D12D1">
        <w:rPr>
          <w:rFonts w:asciiTheme="minorHAnsi" w:hAnsiTheme="minorHAnsi" w:cs="Arial"/>
          <w:sz w:val="20"/>
          <w:szCs w:val="20"/>
        </w:rPr>
        <w:t>Investor Panel</w:t>
      </w:r>
      <w:r w:rsidRPr="00E244B6">
        <w:rPr>
          <w:rFonts w:asciiTheme="minorHAnsi" w:hAnsiTheme="minorHAnsi" w:cs="Arial"/>
          <w:sz w:val="20"/>
          <w:szCs w:val="20"/>
        </w:rPr>
        <w:t>.</w:t>
      </w:r>
    </w:p>
    <w:p w14:paraId="3A6B1001" w14:textId="77777777" w:rsidR="007808B7" w:rsidRPr="00E244B6" w:rsidRDefault="007808B7" w:rsidP="000C2D6C">
      <w:pPr>
        <w:pStyle w:val="LightGrid-Accent31"/>
        <w:spacing w:after="200" w:line="276" w:lineRule="auto"/>
        <w:ind w:left="0"/>
        <w:jc w:val="both"/>
        <w:rPr>
          <w:rFonts w:asciiTheme="minorHAnsi" w:hAnsiTheme="minorHAnsi" w:cs="Arial"/>
          <w:sz w:val="20"/>
          <w:szCs w:val="20"/>
        </w:rPr>
      </w:pPr>
    </w:p>
    <w:p w14:paraId="4489B184" w14:textId="380D477F" w:rsidR="00E445B8" w:rsidRPr="00E244B6" w:rsidRDefault="00E445B8" w:rsidP="00625D6F">
      <w:pPr>
        <w:pStyle w:val="LightGrid-Accent31"/>
        <w:numPr>
          <w:ilvl w:val="0"/>
          <w:numId w:val="12"/>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 After a decision has been arrived at by the </w:t>
      </w:r>
      <w:r w:rsidR="005D12D1">
        <w:rPr>
          <w:rFonts w:asciiTheme="minorHAnsi" w:hAnsiTheme="minorHAnsi" w:cs="Arial"/>
          <w:sz w:val="20"/>
          <w:szCs w:val="20"/>
        </w:rPr>
        <w:t>Investor Panel</w:t>
      </w:r>
      <w:r w:rsidRPr="00E244B6">
        <w:rPr>
          <w:rFonts w:asciiTheme="minorHAnsi" w:hAnsiTheme="minorHAnsi" w:cs="Arial"/>
          <w:sz w:val="20"/>
          <w:szCs w:val="20"/>
        </w:rPr>
        <w:t>, the Proposals will be classified into t</w:t>
      </w:r>
      <w:r w:rsidR="0036242A">
        <w:rPr>
          <w:rFonts w:asciiTheme="minorHAnsi" w:hAnsiTheme="minorHAnsi" w:cs="Arial"/>
          <w:sz w:val="20"/>
          <w:szCs w:val="20"/>
        </w:rPr>
        <w:t>wo</w:t>
      </w:r>
      <w:r w:rsidRPr="00E244B6">
        <w:rPr>
          <w:rFonts w:asciiTheme="minorHAnsi" w:hAnsiTheme="minorHAnsi" w:cs="Arial"/>
          <w:sz w:val="20"/>
          <w:szCs w:val="20"/>
        </w:rPr>
        <w:t xml:space="preserve"> (</w:t>
      </w:r>
      <w:r w:rsidR="0036242A">
        <w:rPr>
          <w:rFonts w:asciiTheme="minorHAnsi" w:hAnsiTheme="minorHAnsi" w:cs="Arial"/>
          <w:sz w:val="20"/>
          <w:szCs w:val="20"/>
        </w:rPr>
        <w:t>2</w:t>
      </w:r>
      <w:r w:rsidRPr="00E244B6">
        <w:rPr>
          <w:rFonts w:asciiTheme="minorHAnsi" w:hAnsiTheme="minorHAnsi" w:cs="Arial"/>
          <w:sz w:val="20"/>
          <w:szCs w:val="20"/>
        </w:rPr>
        <w:t>) groups:</w:t>
      </w:r>
    </w:p>
    <w:p w14:paraId="716BF7C8" w14:textId="3179DF8B" w:rsidR="00E445B8" w:rsidRPr="00E244B6" w:rsidRDefault="00E445B8" w:rsidP="00625D6F">
      <w:pPr>
        <w:pStyle w:val="LightGrid-Accent31"/>
        <w:numPr>
          <w:ilvl w:val="0"/>
          <w:numId w:val="13"/>
        </w:numPr>
        <w:spacing w:after="200" w:line="276" w:lineRule="auto"/>
        <w:ind w:left="1800"/>
        <w:jc w:val="both"/>
        <w:rPr>
          <w:rFonts w:asciiTheme="minorHAnsi" w:hAnsiTheme="minorHAnsi" w:cs="Arial"/>
          <w:b/>
          <w:sz w:val="20"/>
          <w:szCs w:val="20"/>
        </w:rPr>
      </w:pPr>
      <w:r w:rsidRPr="00E244B6">
        <w:rPr>
          <w:rFonts w:asciiTheme="minorHAnsi" w:hAnsiTheme="minorHAnsi" w:cs="Arial"/>
          <w:b/>
          <w:sz w:val="20"/>
          <w:szCs w:val="20"/>
        </w:rPr>
        <w:t>Group 1 - Due Diligence:</w:t>
      </w:r>
    </w:p>
    <w:p w14:paraId="560DA3E6" w14:textId="77777777" w:rsidR="00E445B8" w:rsidRPr="00E244B6" w:rsidRDefault="00E445B8" w:rsidP="000C2D6C">
      <w:pPr>
        <w:pStyle w:val="LightGrid-Accent31"/>
        <w:spacing w:after="200" w:line="276" w:lineRule="auto"/>
        <w:ind w:left="1800"/>
        <w:jc w:val="both"/>
        <w:rPr>
          <w:rFonts w:asciiTheme="minorHAnsi" w:hAnsiTheme="minorHAnsi" w:cs="Arial"/>
          <w:i/>
          <w:sz w:val="20"/>
          <w:szCs w:val="20"/>
        </w:rPr>
      </w:pPr>
      <w:r w:rsidRPr="00E244B6">
        <w:rPr>
          <w:rFonts w:asciiTheme="minorHAnsi" w:hAnsiTheme="minorHAnsi" w:cs="Arial"/>
          <w:i/>
          <w:sz w:val="20"/>
          <w:szCs w:val="20"/>
        </w:rPr>
        <w:t>Due diligence to be conducted</w:t>
      </w:r>
    </w:p>
    <w:p w14:paraId="6557B77D" w14:textId="4912E70E" w:rsidR="00E445B8" w:rsidRPr="00E244B6" w:rsidRDefault="00E445B8" w:rsidP="00625D6F">
      <w:pPr>
        <w:pStyle w:val="LightGrid-Accent31"/>
        <w:numPr>
          <w:ilvl w:val="0"/>
          <w:numId w:val="13"/>
        </w:numPr>
        <w:spacing w:after="200" w:line="276" w:lineRule="auto"/>
        <w:ind w:left="1800"/>
        <w:jc w:val="both"/>
        <w:rPr>
          <w:rFonts w:asciiTheme="minorHAnsi" w:hAnsiTheme="minorHAnsi" w:cs="Arial"/>
          <w:sz w:val="20"/>
          <w:szCs w:val="20"/>
        </w:rPr>
      </w:pPr>
      <w:r w:rsidRPr="00E244B6">
        <w:rPr>
          <w:rFonts w:asciiTheme="minorHAnsi" w:hAnsiTheme="minorHAnsi" w:cs="Arial"/>
          <w:b/>
          <w:sz w:val="20"/>
          <w:szCs w:val="20"/>
        </w:rPr>
        <w:t xml:space="preserve">Group </w:t>
      </w:r>
      <w:r w:rsidR="0036242A">
        <w:rPr>
          <w:rFonts w:asciiTheme="minorHAnsi" w:hAnsiTheme="minorHAnsi" w:cs="Arial"/>
          <w:b/>
          <w:sz w:val="20"/>
          <w:szCs w:val="20"/>
        </w:rPr>
        <w:t>2</w:t>
      </w:r>
      <w:r w:rsidRPr="00E244B6">
        <w:rPr>
          <w:rFonts w:asciiTheme="minorHAnsi" w:hAnsiTheme="minorHAnsi" w:cs="Arial"/>
          <w:b/>
          <w:sz w:val="20"/>
          <w:szCs w:val="20"/>
        </w:rPr>
        <w:t xml:space="preserve"> – No Due diligence</w:t>
      </w:r>
      <w:r w:rsidRPr="00E244B6">
        <w:rPr>
          <w:rFonts w:asciiTheme="minorHAnsi" w:hAnsiTheme="minorHAnsi" w:cs="Arial"/>
          <w:sz w:val="20"/>
          <w:szCs w:val="20"/>
        </w:rPr>
        <w:t>:</w:t>
      </w:r>
    </w:p>
    <w:p w14:paraId="1BF60BD4" w14:textId="1F5DE00B" w:rsidR="0041749E" w:rsidRDefault="00E445B8" w:rsidP="000C2D6C">
      <w:pPr>
        <w:pStyle w:val="LightGrid-Accent31"/>
        <w:spacing w:after="200" w:line="276" w:lineRule="auto"/>
        <w:ind w:left="1800"/>
        <w:jc w:val="both"/>
        <w:rPr>
          <w:rFonts w:asciiTheme="minorHAnsi" w:hAnsiTheme="minorHAnsi" w:cs="Arial"/>
          <w:sz w:val="20"/>
          <w:szCs w:val="20"/>
        </w:rPr>
      </w:pPr>
      <w:r w:rsidRPr="00E244B6">
        <w:rPr>
          <w:rFonts w:asciiTheme="minorHAnsi" w:hAnsiTheme="minorHAnsi" w:cs="Arial"/>
          <w:i/>
          <w:sz w:val="20"/>
          <w:szCs w:val="20"/>
        </w:rPr>
        <w:t xml:space="preserve">No due diligence </w:t>
      </w:r>
      <w:proofErr w:type="gramStart"/>
      <w:r w:rsidRPr="00E244B6">
        <w:rPr>
          <w:rFonts w:asciiTheme="minorHAnsi" w:hAnsiTheme="minorHAnsi" w:cs="Arial"/>
          <w:i/>
          <w:sz w:val="20"/>
          <w:szCs w:val="20"/>
        </w:rPr>
        <w:t>at this time</w:t>
      </w:r>
      <w:proofErr w:type="gramEnd"/>
      <w:r w:rsidRPr="00E244B6">
        <w:rPr>
          <w:rFonts w:asciiTheme="minorHAnsi" w:hAnsiTheme="minorHAnsi" w:cs="Arial"/>
          <w:i/>
          <w:sz w:val="20"/>
          <w:szCs w:val="20"/>
        </w:rPr>
        <w:t xml:space="preserve">, due to </w:t>
      </w:r>
      <w:r w:rsidR="00A26281">
        <w:rPr>
          <w:rFonts w:asciiTheme="minorHAnsi" w:hAnsiTheme="minorHAnsi" w:cs="Arial"/>
          <w:i/>
          <w:sz w:val="20"/>
          <w:szCs w:val="20"/>
        </w:rPr>
        <w:t>F</w:t>
      </w:r>
      <w:r w:rsidRPr="00E244B6">
        <w:rPr>
          <w:rFonts w:asciiTheme="minorHAnsi" w:hAnsiTheme="minorHAnsi" w:cs="Arial"/>
          <w:i/>
          <w:sz w:val="20"/>
          <w:szCs w:val="20"/>
        </w:rPr>
        <w:t xml:space="preserve">und </w:t>
      </w:r>
      <w:r w:rsidR="00A26281">
        <w:rPr>
          <w:rFonts w:asciiTheme="minorHAnsi" w:hAnsiTheme="minorHAnsi" w:cs="Arial"/>
          <w:i/>
          <w:sz w:val="20"/>
          <w:szCs w:val="20"/>
        </w:rPr>
        <w:t>M</w:t>
      </w:r>
      <w:r w:rsidRPr="00E244B6">
        <w:rPr>
          <w:rFonts w:asciiTheme="minorHAnsi" w:hAnsiTheme="minorHAnsi" w:cs="Arial"/>
          <w:i/>
          <w:sz w:val="20"/>
          <w:szCs w:val="20"/>
        </w:rPr>
        <w:t>anager not meeting any or all of the criteria</w:t>
      </w:r>
      <w:r w:rsidRPr="00E244B6">
        <w:rPr>
          <w:rFonts w:asciiTheme="minorHAnsi" w:hAnsiTheme="minorHAnsi" w:cs="Arial"/>
          <w:sz w:val="20"/>
          <w:szCs w:val="20"/>
        </w:rPr>
        <w:t>.</w:t>
      </w:r>
    </w:p>
    <w:p w14:paraId="03D50B59" w14:textId="1F72ABC1" w:rsidR="00E445B8" w:rsidRPr="00E244B6" w:rsidRDefault="00E445B8" w:rsidP="00D16682">
      <w:pPr>
        <w:pStyle w:val="LightGrid-Accent31"/>
        <w:spacing w:after="200" w:line="276" w:lineRule="auto"/>
        <w:ind w:left="1800"/>
        <w:jc w:val="both"/>
        <w:rPr>
          <w:rFonts w:asciiTheme="minorHAnsi" w:hAnsiTheme="minorHAnsi" w:cs="Arial"/>
          <w:i/>
          <w:sz w:val="20"/>
          <w:szCs w:val="20"/>
        </w:rPr>
      </w:pPr>
    </w:p>
    <w:p w14:paraId="1F20FDB9" w14:textId="760E32FD" w:rsidR="00E445B8" w:rsidRPr="00142369" w:rsidRDefault="00E445B8" w:rsidP="00625D6F">
      <w:pPr>
        <w:pStyle w:val="LightGrid-Accent31"/>
        <w:numPr>
          <w:ilvl w:val="0"/>
          <w:numId w:val="12"/>
        </w:numPr>
        <w:spacing w:after="200" w:line="276" w:lineRule="auto"/>
        <w:jc w:val="both"/>
        <w:rPr>
          <w:rFonts w:asciiTheme="minorHAnsi" w:hAnsiTheme="minorHAnsi" w:cstheme="minorHAnsi"/>
          <w:sz w:val="20"/>
          <w:szCs w:val="20"/>
        </w:rPr>
      </w:pPr>
      <w:r w:rsidRPr="00E244B6">
        <w:rPr>
          <w:rFonts w:asciiTheme="minorHAnsi" w:hAnsiTheme="minorHAnsi" w:cs="Arial"/>
          <w:sz w:val="20"/>
          <w:szCs w:val="20"/>
        </w:rPr>
        <w:t xml:space="preserve"> </w:t>
      </w:r>
      <w:r w:rsidRPr="00142369">
        <w:rPr>
          <w:rFonts w:asciiTheme="minorHAnsi" w:hAnsiTheme="minorHAnsi" w:cstheme="minorHAnsi"/>
          <w:sz w:val="20"/>
          <w:szCs w:val="20"/>
        </w:rPr>
        <w:t>Within 10 days of the presentation aforesaid</w:t>
      </w:r>
      <w:r w:rsidR="00A26281" w:rsidRPr="00142369">
        <w:rPr>
          <w:rFonts w:asciiTheme="minorHAnsi" w:hAnsiTheme="minorHAnsi" w:cstheme="minorHAnsi"/>
          <w:sz w:val="20"/>
          <w:szCs w:val="20"/>
        </w:rPr>
        <w:t>,</w:t>
      </w:r>
      <w:r w:rsidRPr="00142369">
        <w:rPr>
          <w:rFonts w:asciiTheme="minorHAnsi" w:hAnsiTheme="minorHAnsi" w:cstheme="minorHAnsi"/>
          <w:sz w:val="20"/>
          <w:szCs w:val="20"/>
        </w:rPr>
        <w:t xml:space="preserve"> each Fund </w:t>
      </w:r>
      <w:r w:rsidR="00A26281" w:rsidRPr="00142369">
        <w:rPr>
          <w:rFonts w:asciiTheme="minorHAnsi" w:hAnsiTheme="minorHAnsi" w:cstheme="minorHAnsi"/>
          <w:sz w:val="20"/>
          <w:szCs w:val="20"/>
        </w:rPr>
        <w:t>M</w:t>
      </w:r>
      <w:r w:rsidRPr="00142369">
        <w:rPr>
          <w:rFonts w:asciiTheme="minorHAnsi" w:hAnsiTheme="minorHAnsi" w:cstheme="minorHAnsi"/>
          <w:sz w:val="20"/>
          <w:szCs w:val="20"/>
        </w:rPr>
        <w:t xml:space="preserve">anager will receive, from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 xml:space="preserve">, a brief, written evaluation of their </w:t>
      </w:r>
      <w:r w:rsidRPr="00142369">
        <w:rPr>
          <w:rFonts w:asciiTheme="minorHAnsi" w:hAnsiTheme="minorHAnsi" w:cstheme="minorHAnsi"/>
          <w:b/>
          <w:sz w:val="20"/>
          <w:szCs w:val="20"/>
        </w:rPr>
        <w:t>Proposal</w:t>
      </w:r>
      <w:r w:rsidRPr="00142369">
        <w:rPr>
          <w:rFonts w:asciiTheme="minorHAnsi" w:hAnsiTheme="minorHAnsi" w:cstheme="minorHAnsi"/>
          <w:sz w:val="20"/>
          <w:szCs w:val="20"/>
        </w:rPr>
        <w:t xml:space="preserve">, including the strong points, the weak points </w:t>
      </w:r>
      <w:r w:rsidR="00DF68FA" w:rsidRPr="00142369">
        <w:rPr>
          <w:rFonts w:asciiTheme="minorHAnsi" w:hAnsiTheme="minorHAnsi" w:cstheme="minorHAnsi"/>
          <w:sz w:val="20"/>
          <w:szCs w:val="20"/>
        </w:rPr>
        <w:t>and</w:t>
      </w:r>
      <w:r w:rsidRPr="00142369">
        <w:rPr>
          <w:rFonts w:asciiTheme="minorHAnsi" w:hAnsiTheme="minorHAnsi" w:cstheme="minorHAnsi"/>
          <w:sz w:val="20"/>
          <w:szCs w:val="20"/>
        </w:rPr>
        <w:t xml:space="preserve"> the</w:t>
      </w:r>
      <w:r w:rsidR="007923B4">
        <w:rPr>
          <w:rFonts w:asciiTheme="minorHAnsi" w:hAnsiTheme="minorHAnsi" w:cstheme="minorHAnsi"/>
          <w:sz w:val="20"/>
          <w:szCs w:val="20"/>
        </w:rPr>
        <w:t xml:space="preserve"> concerns</w:t>
      </w:r>
      <w:r w:rsidR="007923B4" w:rsidRPr="00142369">
        <w:rPr>
          <w:rFonts w:asciiTheme="minorHAnsi" w:hAnsiTheme="minorHAnsi" w:cstheme="minorHAnsi"/>
          <w:sz w:val="20"/>
          <w:szCs w:val="20"/>
        </w:rPr>
        <w:t xml:space="preserve"> </w:t>
      </w:r>
      <w:r w:rsidRPr="00142369">
        <w:rPr>
          <w:rFonts w:asciiTheme="minorHAnsi" w:hAnsiTheme="minorHAnsi" w:cstheme="minorHAnsi"/>
          <w:sz w:val="20"/>
          <w:szCs w:val="20"/>
        </w:rPr>
        <w:t>raised during their presentations. It is anticipated that this evaluation will assist fund managers to improve their Proposals and to address any deficiencies identified.</w:t>
      </w:r>
    </w:p>
    <w:p w14:paraId="4FB25203"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07011296" w14:textId="4B7A1DD5" w:rsidR="00E445B8" w:rsidRPr="00142369" w:rsidRDefault="00E445B8" w:rsidP="00625D6F">
      <w:pPr>
        <w:pStyle w:val="LightGrid-Accent31"/>
        <w:numPr>
          <w:ilvl w:val="0"/>
          <w:numId w:val="12"/>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For those in Group </w:t>
      </w:r>
      <w:r w:rsidR="00195B63">
        <w:rPr>
          <w:rFonts w:asciiTheme="minorHAnsi" w:hAnsiTheme="minorHAnsi" w:cstheme="minorHAnsi"/>
          <w:sz w:val="20"/>
          <w:szCs w:val="20"/>
        </w:rPr>
        <w:t>2</w:t>
      </w:r>
      <w:r w:rsidRPr="00142369">
        <w:rPr>
          <w:rFonts w:asciiTheme="minorHAnsi" w:hAnsiTheme="minorHAnsi" w:cstheme="minorHAnsi"/>
          <w:sz w:val="20"/>
          <w:szCs w:val="20"/>
        </w:rPr>
        <w:t xml:space="preserve">, the feedback will allow them to prepare for any future CFP. </w:t>
      </w:r>
    </w:p>
    <w:p w14:paraId="4F32C1A2"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693B4615" w14:textId="3007E99F" w:rsidR="00E445B8" w:rsidRPr="00142369" w:rsidRDefault="00E445B8" w:rsidP="00625D6F">
      <w:pPr>
        <w:pStyle w:val="LightGrid-Accent31"/>
        <w:numPr>
          <w:ilvl w:val="0"/>
          <w:numId w:val="12"/>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results of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 xml:space="preserve"> will be disclosed </w:t>
      </w:r>
      <w:r w:rsidR="00614A7A" w:rsidRPr="00142369">
        <w:rPr>
          <w:rFonts w:asciiTheme="minorHAnsi" w:hAnsiTheme="minorHAnsi" w:cstheme="minorHAnsi"/>
          <w:sz w:val="20"/>
          <w:szCs w:val="20"/>
        </w:rPr>
        <w:t xml:space="preserve">via </w:t>
      </w:r>
      <w:r w:rsidRPr="00142369">
        <w:rPr>
          <w:rFonts w:asciiTheme="minorHAnsi" w:hAnsiTheme="minorHAnsi" w:cstheme="minorHAnsi"/>
          <w:sz w:val="20"/>
          <w:szCs w:val="20"/>
        </w:rPr>
        <w:t xml:space="preserve">email at the email address submitted by the </w:t>
      </w:r>
      <w:r w:rsidRPr="00142369">
        <w:rPr>
          <w:rFonts w:asciiTheme="minorHAnsi" w:hAnsiTheme="minorHAnsi" w:cstheme="minorHAnsi"/>
          <w:b/>
          <w:sz w:val="20"/>
          <w:szCs w:val="20"/>
        </w:rPr>
        <w:t>Applicant</w:t>
      </w:r>
      <w:r w:rsidRPr="00142369">
        <w:rPr>
          <w:rFonts w:asciiTheme="minorHAnsi" w:hAnsiTheme="minorHAnsi" w:cstheme="minorHAnsi"/>
          <w:sz w:val="20"/>
          <w:szCs w:val="20"/>
        </w:rPr>
        <w:t xml:space="preserve">, and it is the </w:t>
      </w:r>
      <w:r w:rsidRPr="00142369">
        <w:rPr>
          <w:rFonts w:asciiTheme="minorHAnsi" w:hAnsiTheme="minorHAnsi" w:cstheme="minorHAnsi"/>
          <w:b/>
          <w:sz w:val="20"/>
          <w:szCs w:val="20"/>
        </w:rPr>
        <w:t>Applicant’</w:t>
      </w:r>
      <w:r w:rsidRPr="00142369">
        <w:rPr>
          <w:rFonts w:asciiTheme="minorHAnsi" w:hAnsiTheme="minorHAnsi" w:cstheme="minorHAnsi"/>
          <w:sz w:val="20"/>
          <w:szCs w:val="20"/>
        </w:rPr>
        <w:t xml:space="preserve">s responsibility to satisfy the due diligence requirements requested by any Member or by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w:t>
      </w:r>
    </w:p>
    <w:p w14:paraId="21FC727E" w14:textId="77777777" w:rsidR="00E445B8" w:rsidRPr="00142369" w:rsidRDefault="00E445B8" w:rsidP="000C2D6C">
      <w:pPr>
        <w:pStyle w:val="LightGrid-Accent31"/>
        <w:spacing w:after="200" w:line="276" w:lineRule="auto"/>
        <w:jc w:val="both"/>
        <w:rPr>
          <w:rFonts w:asciiTheme="minorHAnsi" w:hAnsiTheme="minorHAnsi" w:cstheme="minorHAnsi"/>
          <w:sz w:val="20"/>
          <w:szCs w:val="20"/>
        </w:rPr>
      </w:pPr>
    </w:p>
    <w:p w14:paraId="6CC0FD99" w14:textId="58142B29" w:rsidR="00E445B8" w:rsidRPr="00142369" w:rsidRDefault="00E445B8" w:rsidP="00625D6F">
      <w:pPr>
        <w:pStyle w:val="LightGrid-Accent31"/>
        <w:numPr>
          <w:ilvl w:val="0"/>
          <w:numId w:val="12"/>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Following the due diligence procedure, the </w:t>
      </w:r>
      <w:r w:rsidR="005D12D1" w:rsidRPr="00142369">
        <w:rPr>
          <w:rFonts w:asciiTheme="minorHAnsi" w:hAnsiTheme="minorHAnsi" w:cstheme="minorHAnsi"/>
          <w:sz w:val="20"/>
          <w:szCs w:val="20"/>
        </w:rPr>
        <w:t>Investor Panel</w:t>
      </w:r>
      <w:r w:rsidR="00331814" w:rsidRPr="00142369">
        <w:rPr>
          <w:rFonts w:asciiTheme="minorHAnsi" w:hAnsiTheme="minorHAnsi" w:cstheme="minorHAnsi"/>
          <w:sz w:val="20"/>
          <w:szCs w:val="20"/>
        </w:rPr>
        <w:t xml:space="preserve"> </w:t>
      </w:r>
      <w:r w:rsidRPr="00142369">
        <w:rPr>
          <w:rFonts w:asciiTheme="minorHAnsi" w:hAnsiTheme="minorHAnsi" w:cstheme="minorHAnsi"/>
          <w:sz w:val="20"/>
          <w:szCs w:val="20"/>
        </w:rPr>
        <w:t xml:space="preserve">will continue the process of in-depth analysis of the Proposal with the Applicant in compliance with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’s approval process.</w:t>
      </w:r>
    </w:p>
    <w:p w14:paraId="42CDCEC4"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34105404" w14:textId="19C71803" w:rsidR="007D647E" w:rsidRDefault="00E445B8" w:rsidP="00625D6F">
      <w:pPr>
        <w:pStyle w:val="LightGrid-Accent31"/>
        <w:numPr>
          <w:ilvl w:val="0"/>
          <w:numId w:val="12"/>
        </w:numPr>
        <w:spacing w:after="200" w:line="276" w:lineRule="auto"/>
        <w:jc w:val="both"/>
        <w:rPr>
          <w:rFonts w:asciiTheme="minorHAnsi" w:hAnsiTheme="minorHAnsi" w:cs="Arial"/>
          <w:sz w:val="20"/>
          <w:szCs w:val="20"/>
        </w:rPr>
      </w:pPr>
      <w:r w:rsidRPr="00142369">
        <w:rPr>
          <w:rFonts w:asciiTheme="minorHAnsi" w:hAnsiTheme="minorHAnsi" w:cstheme="minorHAnsi"/>
          <w:sz w:val="20"/>
          <w:szCs w:val="20"/>
        </w:rPr>
        <w:t xml:space="preserve">The decision by the </w:t>
      </w:r>
      <w:r w:rsidR="005D12D1" w:rsidRPr="00142369">
        <w:rPr>
          <w:rFonts w:asciiTheme="minorHAnsi" w:hAnsiTheme="minorHAnsi" w:cstheme="minorHAnsi"/>
          <w:color w:val="000000"/>
          <w:sz w:val="20"/>
          <w:szCs w:val="20"/>
        </w:rPr>
        <w:t>Investor Panel</w:t>
      </w:r>
      <w:r w:rsidRPr="00142369">
        <w:rPr>
          <w:rFonts w:asciiTheme="minorHAnsi" w:hAnsiTheme="minorHAnsi" w:cstheme="minorHAnsi"/>
          <w:sz w:val="20"/>
          <w:szCs w:val="20"/>
        </w:rPr>
        <w:t xml:space="preserve">, the </w:t>
      </w:r>
      <w:r w:rsidR="00DF68FA" w:rsidRPr="00142369">
        <w:rPr>
          <w:rFonts w:asciiTheme="minorHAnsi" w:hAnsiTheme="minorHAnsi" w:cstheme="minorHAnsi"/>
          <w:sz w:val="20"/>
          <w:szCs w:val="20"/>
        </w:rPr>
        <w:t>analysis,</w:t>
      </w:r>
      <w:r w:rsidRPr="00142369">
        <w:rPr>
          <w:rFonts w:asciiTheme="minorHAnsi" w:hAnsiTheme="minorHAnsi" w:cstheme="minorHAnsi"/>
          <w:sz w:val="20"/>
          <w:szCs w:val="20"/>
        </w:rPr>
        <w:t xml:space="preserve"> and the post due</w:t>
      </w:r>
      <w:r w:rsidR="00A26281" w:rsidRPr="00142369">
        <w:rPr>
          <w:rFonts w:asciiTheme="minorHAnsi" w:hAnsiTheme="minorHAnsi" w:cstheme="minorHAnsi"/>
          <w:sz w:val="20"/>
          <w:szCs w:val="20"/>
        </w:rPr>
        <w:t xml:space="preserve"> to</w:t>
      </w:r>
      <w:r w:rsidRPr="00142369">
        <w:rPr>
          <w:rFonts w:asciiTheme="minorHAnsi" w:hAnsiTheme="minorHAnsi" w:cstheme="minorHAnsi"/>
          <w:sz w:val="20"/>
          <w:szCs w:val="20"/>
        </w:rPr>
        <w:t xml:space="preserve"> diligence procedures shall not be construed as the granting of an investment contract by any Member or by the </w:t>
      </w:r>
      <w:r w:rsidR="005D12D1" w:rsidRPr="00142369">
        <w:rPr>
          <w:rFonts w:asciiTheme="minorHAnsi" w:hAnsiTheme="minorHAnsi" w:cstheme="minorHAnsi"/>
          <w:sz w:val="20"/>
          <w:szCs w:val="20"/>
        </w:rPr>
        <w:t>Investor Panel</w:t>
      </w:r>
      <w:r w:rsidRPr="00E244B6">
        <w:rPr>
          <w:rFonts w:asciiTheme="minorHAnsi" w:hAnsiTheme="minorHAnsi" w:cs="Arial"/>
          <w:sz w:val="20"/>
          <w:szCs w:val="20"/>
        </w:rPr>
        <w:t>.</w:t>
      </w:r>
    </w:p>
    <w:p w14:paraId="7703C822" w14:textId="77777777" w:rsidR="00142369" w:rsidRDefault="00142369" w:rsidP="00142369">
      <w:pPr>
        <w:pStyle w:val="ListParagraph"/>
        <w:rPr>
          <w:rFonts w:asciiTheme="minorHAnsi" w:hAnsiTheme="minorHAnsi" w:cs="Arial"/>
          <w:sz w:val="20"/>
          <w:szCs w:val="20"/>
        </w:rPr>
      </w:pPr>
    </w:p>
    <w:p w14:paraId="1CE728A0" w14:textId="3F3BB44E" w:rsidR="007D647E" w:rsidRPr="00142369" w:rsidRDefault="00383FD4" w:rsidP="00625D6F">
      <w:pPr>
        <w:pStyle w:val="LightGrid-Accent31"/>
        <w:numPr>
          <w:ilvl w:val="0"/>
          <w:numId w:val="12"/>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Applicants will be ranked based on the scores received after the due diligence is completed. </w:t>
      </w:r>
      <w:r w:rsidR="007D647E" w:rsidRPr="00142369">
        <w:rPr>
          <w:rFonts w:asciiTheme="minorHAnsi" w:hAnsiTheme="minorHAnsi" w:cstheme="minorHAnsi"/>
          <w:sz w:val="20"/>
          <w:szCs w:val="20"/>
        </w:rPr>
        <w:t xml:space="preserve">If the selected Fund Manager does not successfully constitute a fund </w:t>
      </w:r>
      <w:r w:rsidR="00B047DB" w:rsidRPr="00142369">
        <w:rPr>
          <w:rFonts w:asciiTheme="minorHAnsi" w:hAnsiTheme="minorHAnsi" w:cstheme="minorHAnsi"/>
          <w:sz w:val="20"/>
          <w:szCs w:val="20"/>
        </w:rPr>
        <w:t>and raise</w:t>
      </w:r>
      <w:r w:rsidR="00A84ACB" w:rsidRPr="00142369">
        <w:rPr>
          <w:rFonts w:asciiTheme="minorHAnsi" w:hAnsiTheme="minorHAnsi" w:cstheme="minorHAnsi"/>
          <w:sz w:val="20"/>
          <w:szCs w:val="20"/>
        </w:rPr>
        <w:t xml:space="preserve"> the</w:t>
      </w:r>
      <w:r w:rsidR="00B047DB" w:rsidRPr="00142369">
        <w:rPr>
          <w:rFonts w:asciiTheme="minorHAnsi" w:hAnsiTheme="minorHAnsi" w:cstheme="minorHAnsi"/>
          <w:sz w:val="20"/>
          <w:szCs w:val="20"/>
        </w:rPr>
        <w:t xml:space="preserve"> requisite financing </w:t>
      </w:r>
      <w:r w:rsidR="007D647E" w:rsidRPr="00142369">
        <w:rPr>
          <w:rFonts w:asciiTheme="minorHAnsi" w:hAnsiTheme="minorHAnsi" w:cstheme="minorHAnsi"/>
          <w:sz w:val="20"/>
          <w:szCs w:val="20"/>
        </w:rPr>
        <w:t>within</w:t>
      </w:r>
      <w:r w:rsidR="001B107A">
        <w:rPr>
          <w:rFonts w:asciiTheme="minorHAnsi" w:hAnsiTheme="minorHAnsi" w:cstheme="minorHAnsi"/>
          <w:sz w:val="20"/>
          <w:szCs w:val="20"/>
        </w:rPr>
        <w:t xml:space="preserve"> an agreed timeline </w:t>
      </w:r>
      <w:r w:rsidR="00906F80">
        <w:rPr>
          <w:rFonts w:asciiTheme="minorHAnsi" w:hAnsiTheme="minorHAnsi" w:cstheme="minorHAnsi"/>
          <w:sz w:val="20"/>
          <w:szCs w:val="20"/>
        </w:rPr>
        <w:t>of being</w:t>
      </w:r>
      <w:r w:rsidR="007D647E" w:rsidRPr="00142369">
        <w:rPr>
          <w:rFonts w:asciiTheme="minorHAnsi" w:hAnsiTheme="minorHAnsi" w:cstheme="minorHAnsi"/>
          <w:sz w:val="20"/>
          <w:szCs w:val="20"/>
        </w:rPr>
        <w:t xml:space="preserve"> awarded the bid, the runner up in the tender process will be automatically selected in its place. </w:t>
      </w:r>
    </w:p>
    <w:p w14:paraId="62355BD1" w14:textId="5DBB10D8" w:rsidR="007D647E" w:rsidRDefault="007D647E" w:rsidP="000C2D6C">
      <w:pPr>
        <w:pStyle w:val="LightGrid-Accent31"/>
        <w:spacing w:after="200" w:line="276" w:lineRule="auto"/>
        <w:ind w:left="1080"/>
        <w:jc w:val="both"/>
        <w:rPr>
          <w:rFonts w:asciiTheme="minorHAnsi" w:hAnsiTheme="minorHAnsi" w:cs="Arial"/>
          <w:sz w:val="20"/>
          <w:szCs w:val="20"/>
        </w:rPr>
      </w:pPr>
    </w:p>
    <w:p w14:paraId="5EA2C3E2" w14:textId="77777777" w:rsidR="00473E0A" w:rsidRPr="00E244B6" w:rsidRDefault="00473E0A" w:rsidP="000C2D6C">
      <w:pPr>
        <w:pStyle w:val="LightGrid-Accent31"/>
        <w:spacing w:after="200" w:line="276" w:lineRule="auto"/>
        <w:ind w:left="0"/>
        <w:jc w:val="both"/>
        <w:rPr>
          <w:rFonts w:asciiTheme="minorHAnsi" w:hAnsiTheme="minorHAnsi" w:cs="Arial"/>
          <w:sz w:val="20"/>
          <w:szCs w:val="20"/>
        </w:rPr>
      </w:pPr>
    </w:p>
    <w:p w14:paraId="568D5363" w14:textId="77777777" w:rsidR="00E445B8" w:rsidRPr="00E244B6" w:rsidRDefault="00E445B8" w:rsidP="00625D6F">
      <w:pPr>
        <w:pStyle w:val="Heading1"/>
        <w:keepLines w:val="0"/>
        <w:numPr>
          <w:ilvl w:val="0"/>
          <w:numId w:val="9"/>
        </w:numPr>
        <w:spacing w:before="240" w:after="60"/>
        <w:rPr>
          <w:rFonts w:asciiTheme="minorHAnsi" w:hAnsiTheme="minorHAnsi" w:cs="Times New Roman"/>
          <w:color w:val="1F497D"/>
          <w:sz w:val="32"/>
          <w:szCs w:val="32"/>
        </w:rPr>
      </w:pPr>
      <w:bookmarkStart w:id="52" w:name="_Toc392698187"/>
      <w:bookmarkStart w:id="53" w:name="_Toc429390673"/>
      <w:bookmarkStart w:id="54" w:name="_Toc31010196"/>
      <w:r w:rsidRPr="00E244B6">
        <w:rPr>
          <w:rFonts w:asciiTheme="minorHAnsi" w:hAnsiTheme="minorHAnsi"/>
          <w:color w:val="1F497D"/>
        </w:rPr>
        <w:lastRenderedPageBreak/>
        <w:t>Clarification of Issues</w:t>
      </w:r>
      <w:bookmarkEnd w:id="52"/>
      <w:bookmarkEnd w:id="53"/>
      <w:bookmarkEnd w:id="54"/>
    </w:p>
    <w:p w14:paraId="06C4EFFC" w14:textId="05F0E790" w:rsidR="00E445B8" w:rsidRPr="00567CF7" w:rsidRDefault="00E445B8" w:rsidP="000C2D6C">
      <w:pPr>
        <w:jc w:val="both"/>
        <w:rPr>
          <w:rFonts w:cstheme="minorHAnsi"/>
          <w:color w:val="4472C4" w:themeColor="accent1"/>
          <w:sz w:val="20"/>
          <w:szCs w:val="20"/>
        </w:rPr>
      </w:pPr>
      <w:r w:rsidRPr="00567CF7">
        <w:rPr>
          <w:rFonts w:cstheme="minorHAnsi"/>
          <w:sz w:val="20"/>
          <w:szCs w:val="20"/>
        </w:rPr>
        <w:t xml:space="preserve">Questions arising prior to the submission </w:t>
      </w:r>
      <w:r w:rsidR="00DF68FA" w:rsidRPr="00567CF7">
        <w:rPr>
          <w:rFonts w:cstheme="minorHAnsi"/>
          <w:sz w:val="20"/>
          <w:szCs w:val="20"/>
        </w:rPr>
        <w:t>of the</w:t>
      </w:r>
      <w:r w:rsidRPr="00567CF7">
        <w:rPr>
          <w:rFonts w:cstheme="minorHAnsi"/>
          <w:sz w:val="20"/>
          <w:szCs w:val="20"/>
        </w:rPr>
        <w:t xml:space="preserve"> </w:t>
      </w:r>
      <w:r w:rsidRPr="00567CF7">
        <w:rPr>
          <w:rFonts w:cstheme="minorHAnsi"/>
          <w:b/>
          <w:sz w:val="20"/>
          <w:szCs w:val="20"/>
        </w:rPr>
        <w:t>Proposals</w:t>
      </w:r>
      <w:r w:rsidRPr="00567CF7">
        <w:rPr>
          <w:rFonts w:cstheme="minorHAnsi"/>
          <w:sz w:val="20"/>
          <w:szCs w:val="20"/>
        </w:rPr>
        <w:t xml:space="preserve"> should be sent by email to the following address:  </w:t>
      </w:r>
      <w:r w:rsidR="00F15AA6" w:rsidRPr="00567CF7">
        <w:rPr>
          <w:rFonts w:cstheme="minorHAnsi"/>
          <w:b/>
          <w:i/>
          <w:sz w:val="20"/>
          <w:szCs w:val="20"/>
        </w:rPr>
        <w:t xml:space="preserve"> </w:t>
      </w:r>
      <w:hyperlink r:id="rId15" w:history="1">
        <w:r w:rsidR="00C7207F" w:rsidRPr="00567CF7">
          <w:rPr>
            <w:rStyle w:val="Hyperlink"/>
            <w:rFonts w:asciiTheme="minorHAnsi" w:hAnsiTheme="minorHAnsi" w:cstheme="minorHAnsi"/>
            <w:b/>
            <w:i/>
            <w:color w:val="4472C4" w:themeColor="accent1"/>
            <w:sz w:val="20"/>
            <w:szCs w:val="20"/>
          </w:rPr>
          <w:t>accesstofinance@dbankjm.com</w:t>
        </w:r>
      </w:hyperlink>
      <w:r w:rsidR="00C7207F" w:rsidRPr="00567CF7">
        <w:rPr>
          <w:rFonts w:cstheme="minorHAnsi"/>
          <w:b/>
          <w:i/>
          <w:color w:val="4472C4" w:themeColor="accent1"/>
          <w:sz w:val="20"/>
          <w:szCs w:val="20"/>
        </w:rPr>
        <w:t xml:space="preserve"> </w:t>
      </w:r>
    </w:p>
    <w:p w14:paraId="4C37430E" w14:textId="3BF1DFE8" w:rsidR="00E445B8" w:rsidRPr="00567CF7" w:rsidRDefault="00E445B8" w:rsidP="000C2D6C">
      <w:pPr>
        <w:jc w:val="both"/>
        <w:rPr>
          <w:rFonts w:cstheme="minorHAnsi"/>
          <w:sz w:val="20"/>
          <w:szCs w:val="20"/>
        </w:rPr>
      </w:pPr>
      <w:r w:rsidRPr="00567CF7">
        <w:rPr>
          <w:rFonts w:cstheme="minorHAnsi"/>
          <w:sz w:val="20"/>
          <w:szCs w:val="20"/>
        </w:rPr>
        <w:t>All explanations will be disclosed electronically on a weekly basis on the website</w:t>
      </w:r>
      <w:r w:rsidR="00651146" w:rsidRPr="00567CF7">
        <w:rPr>
          <w:rFonts w:cstheme="minorHAnsi"/>
          <w:sz w:val="20"/>
          <w:szCs w:val="20"/>
        </w:rPr>
        <w:t>:</w:t>
      </w:r>
      <w:r w:rsidRPr="00567CF7">
        <w:rPr>
          <w:rFonts w:cstheme="minorHAnsi"/>
          <w:sz w:val="20"/>
          <w:szCs w:val="20"/>
        </w:rPr>
        <w:t xml:space="preserve"> </w:t>
      </w:r>
      <w:r w:rsidR="00F15AA6" w:rsidRPr="00567CF7">
        <w:rPr>
          <w:rFonts w:cstheme="minorHAnsi"/>
          <w:b/>
          <w:bCs/>
          <w:color w:val="4472C4" w:themeColor="accent1"/>
          <w:sz w:val="20"/>
          <w:szCs w:val="20"/>
        </w:rPr>
        <w:t>http://dbankjm.com/tenders-and-job-opportunity</w:t>
      </w:r>
      <w:r w:rsidR="00F15AA6" w:rsidRPr="00567CF7">
        <w:rPr>
          <w:rFonts w:cstheme="minorHAnsi"/>
          <w:b/>
          <w:bCs/>
          <w:sz w:val="20"/>
          <w:szCs w:val="20"/>
        </w:rPr>
        <w:t>/</w:t>
      </w:r>
      <w:r w:rsidRPr="00567CF7">
        <w:rPr>
          <w:rFonts w:cstheme="minorHAnsi"/>
          <w:sz w:val="20"/>
          <w:szCs w:val="20"/>
        </w:rPr>
        <w:t>while respecting the Applicant’s condition of anonymity</w:t>
      </w:r>
      <w:r w:rsidR="00C02044" w:rsidRPr="00567CF7">
        <w:rPr>
          <w:rFonts w:cstheme="minorHAnsi"/>
          <w:sz w:val="20"/>
          <w:szCs w:val="20"/>
        </w:rPr>
        <w:t xml:space="preserve">. </w:t>
      </w:r>
    </w:p>
    <w:p w14:paraId="7F1445E0" w14:textId="77777777" w:rsidR="00E445B8" w:rsidRPr="00DE62DF" w:rsidRDefault="00E445B8" w:rsidP="000C2D6C">
      <w:pPr>
        <w:jc w:val="both"/>
        <w:rPr>
          <w:rFonts w:cstheme="minorHAnsi"/>
          <w:sz w:val="20"/>
          <w:szCs w:val="20"/>
        </w:rPr>
      </w:pPr>
      <w:r w:rsidRPr="00567CF7">
        <w:rPr>
          <w:rFonts w:cstheme="minorHAnsi"/>
          <w:sz w:val="20"/>
          <w:szCs w:val="20"/>
        </w:rPr>
        <w:t xml:space="preserve">Questions will </w:t>
      </w:r>
      <w:r w:rsidRPr="00567CF7">
        <w:rPr>
          <w:rFonts w:cstheme="minorHAnsi"/>
          <w:b/>
          <w:sz w:val="20"/>
          <w:szCs w:val="20"/>
        </w:rPr>
        <w:t>not</w:t>
      </w:r>
      <w:r w:rsidRPr="00567CF7">
        <w:rPr>
          <w:rFonts w:cstheme="minorHAnsi"/>
          <w:sz w:val="20"/>
          <w:szCs w:val="20"/>
        </w:rPr>
        <w:t xml:space="preserve"> be a</w:t>
      </w:r>
      <w:r w:rsidRPr="00DE62DF">
        <w:rPr>
          <w:rFonts w:cstheme="minorHAnsi"/>
          <w:sz w:val="20"/>
          <w:szCs w:val="20"/>
        </w:rPr>
        <w:t xml:space="preserve">nswered by telephone or after the deadline set out in Item 6. </w:t>
      </w:r>
    </w:p>
    <w:p w14:paraId="47C9A1C1" w14:textId="086DB7A7" w:rsidR="00E445B8" w:rsidRPr="00E244B6" w:rsidRDefault="00E445B8" w:rsidP="00625D6F">
      <w:pPr>
        <w:pStyle w:val="Heading1"/>
        <w:keepLines w:val="0"/>
        <w:numPr>
          <w:ilvl w:val="0"/>
          <w:numId w:val="9"/>
        </w:numPr>
        <w:spacing w:before="240" w:after="60"/>
        <w:rPr>
          <w:rFonts w:asciiTheme="minorHAnsi" w:hAnsiTheme="minorHAnsi" w:cs="Times New Roman"/>
          <w:color w:val="1F497D"/>
          <w:sz w:val="32"/>
          <w:szCs w:val="32"/>
        </w:rPr>
      </w:pPr>
      <w:bookmarkStart w:id="55" w:name="_Toc392698188"/>
      <w:bookmarkStart w:id="56" w:name="_Toc429390674"/>
      <w:bookmarkStart w:id="57" w:name="_Toc31010197"/>
      <w:r w:rsidRPr="00E244B6">
        <w:rPr>
          <w:rFonts w:asciiTheme="minorHAnsi" w:hAnsiTheme="minorHAnsi"/>
          <w:color w:val="1F497D"/>
        </w:rPr>
        <w:t>Investors</w:t>
      </w:r>
      <w:r w:rsidR="0049773F">
        <w:rPr>
          <w:rFonts w:asciiTheme="minorHAnsi" w:hAnsiTheme="minorHAnsi"/>
          <w:color w:val="1F497D"/>
        </w:rPr>
        <w:t>’</w:t>
      </w:r>
      <w:r w:rsidRPr="00E244B6">
        <w:rPr>
          <w:rFonts w:asciiTheme="minorHAnsi" w:hAnsiTheme="minorHAnsi"/>
          <w:color w:val="1F497D"/>
        </w:rPr>
        <w:t xml:space="preserve"> Terms and Preferences</w:t>
      </w:r>
      <w:bookmarkEnd w:id="55"/>
      <w:bookmarkEnd w:id="56"/>
      <w:bookmarkEnd w:id="57"/>
    </w:p>
    <w:p w14:paraId="0391EA49" w14:textId="4E1D2FD1" w:rsidR="00E445B8" w:rsidRPr="00DE62DF" w:rsidRDefault="00E445B8" w:rsidP="000C2D6C">
      <w:pPr>
        <w:pStyle w:val="LightGrid-Accent31"/>
        <w:spacing w:after="200" w:line="276" w:lineRule="auto"/>
        <w:ind w:left="0"/>
        <w:jc w:val="both"/>
        <w:rPr>
          <w:rFonts w:asciiTheme="minorHAnsi" w:hAnsiTheme="minorHAnsi" w:cstheme="minorHAnsi"/>
          <w:sz w:val="20"/>
          <w:szCs w:val="20"/>
        </w:rPr>
      </w:pPr>
      <w:r w:rsidRPr="00DE62DF">
        <w:rPr>
          <w:rFonts w:asciiTheme="minorHAnsi" w:hAnsiTheme="minorHAnsi" w:cstheme="minorHAnsi"/>
          <w:sz w:val="20"/>
          <w:szCs w:val="20"/>
        </w:rPr>
        <w:t>The preferences of the</w:t>
      </w:r>
      <w:r w:rsidRPr="00DE62DF">
        <w:rPr>
          <w:rFonts w:asciiTheme="minorHAnsi" w:hAnsiTheme="minorHAnsi" w:cstheme="minorHAnsi"/>
          <w:b/>
          <w:sz w:val="20"/>
          <w:szCs w:val="20"/>
        </w:rPr>
        <w:t xml:space="preserve"> </w:t>
      </w:r>
      <w:r w:rsidRPr="00DE62DF">
        <w:rPr>
          <w:rFonts w:asciiTheme="minorHAnsi" w:hAnsiTheme="minorHAnsi" w:cstheme="minorHAnsi"/>
          <w:sz w:val="20"/>
          <w:szCs w:val="20"/>
        </w:rPr>
        <w:t xml:space="preserve">Members as it relates to private equity investments are summarized in the </w:t>
      </w:r>
      <w:r w:rsidRPr="00DE62DF">
        <w:rPr>
          <w:rFonts w:asciiTheme="minorHAnsi" w:hAnsiTheme="minorHAnsi" w:cstheme="minorHAnsi"/>
          <w:b/>
          <w:sz w:val="20"/>
          <w:szCs w:val="20"/>
        </w:rPr>
        <w:t>A</w:t>
      </w:r>
      <w:r w:rsidR="00DE62DF">
        <w:rPr>
          <w:rFonts w:asciiTheme="minorHAnsi" w:hAnsiTheme="minorHAnsi" w:cstheme="minorHAnsi"/>
          <w:b/>
          <w:sz w:val="20"/>
          <w:szCs w:val="20"/>
        </w:rPr>
        <w:t>ppendices</w:t>
      </w:r>
      <w:r w:rsidR="00313DC3" w:rsidRPr="00DE62DF">
        <w:rPr>
          <w:rFonts w:asciiTheme="minorHAnsi" w:hAnsiTheme="minorHAnsi" w:cstheme="minorHAnsi"/>
          <w:b/>
          <w:sz w:val="20"/>
          <w:szCs w:val="20"/>
        </w:rPr>
        <w:t xml:space="preserve"> </w:t>
      </w:r>
      <w:r w:rsidR="00313DC3" w:rsidRPr="00DE62DF">
        <w:rPr>
          <w:rFonts w:asciiTheme="minorHAnsi" w:hAnsiTheme="minorHAnsi" w:cstheme="minorHAnsi"/>
          <w:bCs/>
          <w:sz w:val="20"/>
          <w:szCs w:val="20"/>
        </w:rPr>
        <w:t>which include the complaint mechanism</w:t>
      </w:r>
      <w:r w:rsidR="008A0D88" w:rsidRPr="00DE62DF">
        <w:rPr>
          <w:rFonts w:asciiTheme="minorHAnsi" w:hAnsiTheme="minorHAnsi" w:cstheme="minorHAnsi"/>
          <w:sz w:val="20"/>
          <w:szCs w:val="20"/>
        </w:rPr>
        <w:t xml:space="preserve">. </w:t>
      </w:r>
      <w:r w:rsidRPr="00DE62DF">
        <w:rPr>
          <w:rFonts w:asciiTheme="minorHAnsi" w:hAnsiTheme="minorHAnsi" w:cstheme="minorHAnsi"/>
          <w:sz w:val="20"/>
          <w:szCs w:val="20"/>
        </w:rPr>
        <w:t>Th</w:t>
      </w:r>
      <w:r w:rsidR="00D12922" w:rsidRPr="00DE62DF">
        <w:rPr>
          <w:rFonts w:asciiTheme="minorHAnsi" w:hAnsiTheme="minorHAnsi" w:cstheme="minorHAnsi"/>
          <w:sz w:val="20"/>
          <w:szCs w:val="20"/>
        </w:rPr>
        <w:t>e</w:t>
      </w:r>
      <w:r w:rsidRPr="00DE62DF">
        <w:rPr>
          <w:rFonts w:asciiTheme="minorHAnsi" w:hAnsiTheme="minorHAnsi" w:cstheme="minorHAnsi"/>
          <w:sz w:val="20"/>
          <w:szCs w:val="20"/>
        </w:rPr>
        <w:t>s</w:t>
      </w:r>
      <w:r w:rsidR="00D12922" w:rsidRPr="00DE62DF">
        <w:rPr>
          <w:rFonts w:asciiTheme="minorHAnsi" w:hAnsiTheme="minorHAnsi" w:cstheme="minorHAnsi"/>
          <w:sz w:val="20"/>
          <w:szCs w:val="20"/>
        </w:rPr>
        <w:t>e are</w:t>
      </w:r>
      <w:r w:rsidRPr="00DE62DF">
        <w:rPr>
          <w:rFonts w:asciiTheme="minorHAnsi" w:hAnsiTheme="minorHAnsi" w:cstheme="minorHAnsi"/>
          <w:sz w:val="20"/>
          <w:szCs w:val="20"/>
        </w:rPr>
        <w:t xml:space="preserve"> provided as a guide to the </w:t>
      </w:r>
      <w:r w:rsidRPr="00DE62DF">
        <w:rPr>
          <w:rFonts w:asciiTheme="minorHAnsi" w:hAnsiTheme="minorHAnsi" w:cstheme="minorHAnsi"/>
          <w:b/>
          <w:sz w:val="20"/>
          <w:szCs w:val="20"/>
        </w:rPr>
        <w:t xml:space="preserve">Applicants </w:t>
      </w:r>
      <w:r w:rsidRPr="00DE62DF">
        <w:rPr>
          <w:rFonts w:asciiTheme="minorHAnsi" w:hAnsiTheme="minorHAnsi" w:cstheme="minorHAnsi"/>
          <w:sz w:val="20"/>
          <w:szCs w:val="20"/>
        </w:rPr>
        <w:t>in the preparation of their Proposal.</w:t>
      </w:r>
    </w:p>
    <w:p w14:paraId="39A09282" w14:textId="633A0535" w:rsidR="005532A1" w:rsidRPr="00906F80" w:rsidRDefault="005532A1" w:rsidP="00625D6F">
      <w:pPr>
        <w:keepNext/>
        <w:numPr>
          <w:ilvl w:val="0"/>
          <w:numId w:val="9"/>
        </w:numPr>
        <w:spacing w:before="240" w:after="60"/>
        <w:outlineLvl w:val="0"/>
        <w:rPr>
          <w:rFonts w:eastAsiaTheme="majorEastAsia" w:cs="Times New Roman"/>
          <w:b/>
          <w:bCs/>
          <w:color w:val="1F497D"/>
          <w:sz w:val="32"/>
          <w:szCs w:val="32"/>
        </w:rPr>
      </w:pPr>
      <w:r>
        <w:rPr>
          <w:color w:val="1F497D"/>
        </w:rPr>
        <w:t xml:space="preserve"> </w:t>
      </w:r>
      <w:bookmarkStart w:id="58" w:name="_Toc31010198"/>
      <w:r w:rsidRPr="00D01DF5">
        <w:rPr>
          <w:rFonts w:eastAsiaTheme="majorEastAsia" w:cstheme="majorBidi"/>
          <w:b/>
          <w:bCs/>
          <w:color w:val="1F497D"/>
          <w:sz w:val="28"/>
          <w:szCs w:val="28"/>
        </w:rPr>
        <w:t>Calendar</w:t>
      </w:r>
      <w:bookmarkEnd w:id="58"/>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058"/>
        <w:gridCol w:w="4146"/>
      </w:tblGrid>
      <w:tr w:rsidR="00906F80" w:rsidRPr="00D01DF5" w14:paraId="46CED7BA" w14:textId="77777777" w:rsidTr="00044634">
        <w:trPr>
          <w:trHeight w:val="323"/>
        </w:trPr>
        <w:tc>
          <w:tcPr>
            <w:tcW w:w="5058" w:type="dxa"/>
            <w:tcBorders>
              <w:top w:val="single" w:sz="8" w:space="0" w:color="4F81BD"/>
              <w:left w:val="single" w:sz="8" w:space="0" w:color="4F81BD"/>
              <w:bottom w:val="single" w:sz="8" w:space="0" w:color="4F81BD"/>
              <w:right w:val="nil"/>
            </w:tcBorders>
            <w:shd w:val="clear" w:color="auto" w:fill="4F81BD"/>
            <w:hideMark/>
          </w:tcPr>
          <w:p w14:paraId="1B6400FA" w14:textId="77777777" w:rsidR="00906F80" w:rsidRPr="00D01DF5" w:rsidRDefault="00906F80" w:rsidP="00044634">
            <w:pPr>
              <w:jc w:val="center"/>
              <w:rPr>
                <w:rFonts w:cs="Arial"/>
                <w:b/>
                <w:bCs/>
                <w:color w:val="FFFFFF"/>
                <w:sz w:val="20"/>
                <w:szCs w:val="20"/>
              </w:rPr>
            </w:pPr>
            <w:r w:rsidRPr="00D01DF5">
              <w:rPr>
                <w:rFonts w:cs="Arial"/>
                <w:b/>
                <w:bCs/>
                <w:color w:val="FFFFFF"/>
                <w:sz w:val="20"/>
                <w:szCs w:val="20"/>
              </w:rPr>
              <w:t>Action</w:t>
            </w:r>
          </w:p>
        </w:tc>
        <w:tc>
          <w:tcPr>
            <w:tcW w:w="4146" w:type="dxa"/>
            <w:tcBorders>
              <w:top w:val="single" w:sz="8" w:space="0" w:color="4F81BD"/>
              <w:left w:val="nil"/>
              <w:bottom w:val="nil"/>
              <w:right w:val="single" w:sz="8" w:space="0" w:color="4F81BD"/>
            </w:tcBorders>
            <w:shd w:val="clear" w:color="auto" w:fill="4F81BD"/>
            <w:hideMark/>
          </w:tcPr>
          <w:p w14:paraId="66863C94" w14:textId="77777777" w:rsidR="00906F80" w:rsidRPr="00D01DF5" w:rsidRDefault="00906F80" w:rsidP="00044634">
            <w:pPr>
              <w:jc w:val="center"/>
              <w:rPr>
                <w:rFonts w:cs="Arial"/>
                <w:b/>
                <w:bCs/>
                <w:color w:val="FFFFFF"/>
                <w:sz w:val="20"/>
                <w:szCs w:val="20"/>
              </w:rPr>
            </w:pPr>
            <w:r w:rsidRPr="00D01DF5">
              <w:rPr>
                <w:rFonts w:cs="Arial"/>
                <w:b/>
                <w:bCs/>
                <w:color w:val="FFFFFF"/>
                <w:sz w:val="20"/>
                <w:szCs w:val="20"/>
              </w:rPr>
              <w:t>Date</w:t>
            </w:r>
          </w:p>
        </w:tc>
      </w:tr>
      <w:tr w:rsidR="00906F80" w:rsidRPr="00D01DF5" w14:paraId="2FAEB0C8" w14:textId="77777777" w:rsidTr="00044634">
        <w:tc>
          <w:tcPr>
            <w:tcW w:w="5058" w:type="dxa"/>
            <w:tcBorders>
              <w:top w:val="single" w:sz="8" w:space="0" w:color="4F81BD"/>
              <w:left w:val="single" w:sz="8" w:space="0" w:color="4F81BD"/>
              <w:bottom w:val="single" w:sz="8" w:space="0" w:color="4F81BD"/>
              <w:right w:val="single" w:sz="8" w:space="0" w:color="4F81BD"/>
            </w:tcBorders>
          </w:tcPr>
          <w:p w14:paraId="0836CBDF" w14:textId="77777777" w:rsidR="00906F80" w:rsidRPr="003F6BF4" w:rsidRDefault="00906F80" w:rsidP="00044634">
            <w:pPr>
              <w:jc w:val="both"/>
              <w:rPr>
                <w:rFonts w:cs="Arial"/>
                <w:b/>
                <w:bCs/>
                <w:sz w:val="20"/>
                <w:szCs w:val="20"/>
              </w:rPr>
            </w:pPr>
            <w:r w:rsidRPr="003F6BF4">
              <w:rPr>
                <w:rFonts w:cs="Arial"/>
                <w:b/>
                <w:bCs/>
                <w:sz w:val="20"/>
                <w:szCs w:val="20"/>
              </w:rPr>
              <w:t>Issue of Call for Proposal</w:t>
            </w:r>
            <w:r>
              <w:rPr>
                <w:rFonts w:cs="Arial"/>
                <w:b/>
                <w:bCs/>
                <w:sz w:val="20"/>
                <w:szCs w:val="20"/>
              </w:rPr>
              <w:t>s</w:t>
            </w:r>
            <w:r w:rsidRPr="003F6BF4">
              <w:rPr>
                <w:rFonts w:cs="Arial"/>
                <w:b/>
                <w:bCs/>
                <w:sz w:val="20"/>
                <w:szCs w:val="20"/>
              </w:rPr>
              <w:t xml:space="preserve">: </w:t>
            </w:r>
          </w:p>
        </w:tc>
        <w:tc>
          <w:tcPr>
            <w:tcW w:w="4146" w:type="dxa"/>
            <w:tcBorders>
              <w:top w:val="single" w:sz="8" w:space="0" w:color="4F81BD"/>
              <w:left w:val="single" w:sz="8" w:space="0" w:color="4F81BD"/>
              <w:bottom w:val="single" w:sz="8" w:space="0" w:color="4F81BD"/>
              <w:right w:val="single" w:sz="8" w:space="0" w:color="4F81BD"/>
            </w:tcBorders>
          </w:tcPr>
          <w:p w14:paraId="3937E08F" w14:textId="21A4F149" w:rsidR="00906F80" w:rsidRPr="000A6A94" w:rsidRDefault="00906F80" w:rsidP="00044634">
            <w:pPr>
              <w:jc w:val="both"/>
              <w:rPr>
                <w:rFonts w:cs="Arial"/>
                <w:b/>
                <w:bCs/>
                <w:sz w:val="20"/>
                <w:szCs w:val="20"/>
              </w:rPr>
            </w:pPr>
            <w:r w:rsidRPr="000A6A94">
              <w:rPr>
                <w:rFonts w:cs="Arial"/>
                <w:b/>
                <w:bCs/>
                <w:sz w:val="20"/>
                <w:szCs w:val="20"/>
              </w:rPr>
              <w:t xml:space="preserve"> November 2</w:t>
            </w:r>
            <w:r w:rsidR="000A6A94">
              <w:rPr>
                <w:rFonts w:cs="Arial"/>
                <w:b/>
                <w:bCs/>
                <w:sz w:val="20"/>
                <w:szCs w:val="20"/>
              </w:rPr>
              <w:t>3,</w:t>
            </w:r>
            <w:r w:rsidRPr="000A6A94">
              <w:rPr>
                <w:rFonts w:cs="Arial"/>
                <w:b/>
                <w:bCs/>
                <w:sz w:val="20"/>
                <w:szCs w:val="20"/>
              </w:rPr>
              <w:t xml:space="preserve"> 2021</w:t>
            </w:r>
          </w:p>
        </w:tc>
      </w:tr>
      <w:tr w:rsidR="00906F80" w:rsidRPr="00D01DF5" w14:paraId="06EFEAE2" w14:textId="77777777" w:rsidTr="00044634">
        <w:tc>
          <w:tcPr>
            <w:tcW w:w="5058" w:type="dxa"/>
            <w:tcBorders>
              <w:top w:val="single" w:sz="8" w:space="0" w:color="4F81BD"/>
              <w:left w:val="single" w:sz="8" w:space="0" w:color="4F81BD"/>
              <w:bottom w:val="single" w:sz="8" w:space="0" w:color="4F81BD"/>
              <w:right w:val="single" w:sz="8" w:space="0" w:color="4F81BD"/>
            </w:tcBorders>
            <w:hideMark/>
          </w:tcPr>
          <w:p w14:paraId="5BC0B289" w14:textId="77777777" w:rsidR="00906F80" w:rsidRPr="003F6BF4" w:rsidRDefault="00906F80" w:rsidP="00044634">
            <w:pPr>
              <w:jc w:val="both"/>
              <w:rPr>
                <w:rFonts w:cs="Arial"/>
                <w:b/>
                <w:bCs/>
                <w:sz w:val="20"/>
                <w:szCs w:val="20"/>
              </w:rPr>
            </w:pPr>
            <w:r w:rsidRPr="003F6BF4">
              <w:rPr>
                <w:rFonts w:cs="Arial"/>
                <w:b/>
                <w:bCs/>
                <w:sz w:val="20"/>
                <w:szCs w:val="20"/>
              </w:rPr>
              <w:t>Deadline for clarification of issues (Item 4.0)</w:t>
            </w:r>
          </w:p>
        </w:tc>
        <w:tc>
          <w:tcPr>
            <w:tcW w:w="4146" w:type="dxa"/>
            <w:tcBorders>
              <w:top w:val="single" w:sz="8" w:space="0" w:color="4F81BD"/>
              <w:left w:val="single" w:sz="8" w:space="0" w:color="4F81BD"/>
              <w:bottom w:val="single" w:sz="8" w:space="0" w:color="4F81BD"/>
              <w:right w:val="single" w:sz="8" w:space="0" w:color="4F81BD"/>
            </w:tcBorders>
            <w:hideMark/>
          </w:tcPr>
          <w:p w14:paraId="0A8E0F5C" w14:textId="1299536D" w:rsidR="00906F80" w:rsidRPr="000A6A94" w:rsidRDefault="00906F80" w:rsidP="00044634">
            <w:pPr>
              <w:jc w:val="both"/>
              <w:rPr>
                <w:rFonts w:cs="Arial"/>
                <w:b/>
                <w:bCs/>
                <w:sz w:val="20"/>
                <w:szCs w:val="20"/>
              </w:rPr>
            </w:pPr>
            <w:r w:rsidRPr="000A6A94">
              <w:rPr>
                <w:rFonts w:cs="Arial"/>
                <w:b/>
                <w:bCs/>
                <w:sz w:val="20"/>
                <w:szCs w:val="20"/>
              </w:rPr>
              <w:t xml:space="preserve">up to 4.30 p.m. on </w:t>
            </w:r>
            <w:r w:rsidR="0068259C">
              <w:rPr>
                <w:rFonts w:cs="Arial"/>
                <w:b/>
                <w:bCs/>
                <w:sz w:val="20"/>
                <w:szCs w:val="20"/>
              </w:rPr>
              <w:t xml:space="preserve">January </w:t>
            </w:r>
            <w:r w:rsidR="008A338F">
              <w:rPr>
                <w:rFonts w:cs="Arial"/>
                <w:b/>
                <w:bCs/>
                <w:sz w:val="20"/>
                <w:szCs w:val="20"/>
              </w:rPr>
              <w:t>4</w:t>
            </w:r>
            <w:r w:rsidR="0068259C">
              <w:rPr>
                <w:rFonts w:cs="Arial"/>
                <w:b/>
                <w:bCs/>
                <w:sz w:val="20"/>
                <w:szCs w:val="20"/>
              </w:rPr>
              <w:t>,</w:t>
            </w:r>
            <w:r w:rsidRPr="000A6A94">
              <w:rPr>
                <w:rFonts w:cs="Arial"/>
                <w:b/>
                <w:bCs/>
                <w:sz w:val="20"/>
                <w:szCs w:val="20"/>
              </w:rPr>
              <w:t xml:space="preserve"> 202</w:t>
            </w:r>
            <w:r w:rsidR="0068259C">
              <w:rPr>
                <w:rFonts w:cs="Arial"/>
                <w:b/>
                <w:bCs/>
                <w:sz w:val="20"/>
                <w:szCs w:val="20"/>
              </w:rPr>
              <w:t>2</w:t>
            </w:r>
          </w:p>
        </w:tc>
      </w:tr>
      <w:tr w:rsidR="00906F80" w:rsidRPr="00D01DF5" w14:paraId="11E19D83" w14:textId="77777777" w:rsidTr="00044634">
        <w:tc>
          <w:tcPr>
            <w:tcW w:w="5058" w:type="dxa"/>
            <w:tcBorders>
              <w:top w:val="single" w:sz="8" w:space="0" w:color="4F81BD"/>
              <w:left w:val="single" w:sz="8" w:space="0" w:color="4F81BD"/>
              <w:bottom w:val="single" w:sz="8" w:space="0" w:color="4F81BD"/>
              <w:right w:val="single" w:sz="8" w:space="0" w:color="4F81BD"/>
            </w:tcBorders>
            <w:hideMark/>
          </w:tcPr>
          <w:p w14:paraId="3D1284E4" w14:textId="77777777" w:rsidR="00906F80" w:rsidRPr="003F6BF4" w:rsidRDefault="00906F80" w:rsidP="00044634">
            <w:pPr>
              <w:jc w:val="both"/>
              <w:rPr>
                <w:rFonts w:cs="Arial"/>
                <w:b/>
                <w:bCs/>
                <w:sz w:val="20"/>
                <w:szCs w:val="20"/>
              </w:rPr>
            </w:pPr>
            <w:r w:rsidRPr="003F6BF4">
              <w:rPr>
                <w:rFonts w:cs="Arial"/>
                <w:b/>
                <w:bCs/>
                <w:sz w:val="20"/>
                <w:szCs w:val="20"/>
              </w:rPr>
              <w:t>Deadline to submit the Proposal (Item 2.3)</w:t>
            </w:r>
          </w:p>
        </w:tc>
        <w:tc>
          <w:tcPr>
            <w:tcW w:w="4146" w:type="dxa"/>
            <w:tcBorders>
              <w:top w:val="nil"/>
              <w:left w:val="single" w:sz="8" w:space="0" w:color="4F81BD"/>
              <w:bottom w:val="nil"/>
              <w:right w:val="single" w:sz="8" w:space="0" w:color="4F81BD"/>
            </w:tcBorders>
            <w:hideMark/>
          </w:tcPr>
          <w:p w14:paraId="0A80FFCA" w14:textId="48FF6A58" w:rsidR="00906F80" w:rsidRPr="000A6A94" w:rsidRDefault="00906F80" w:rsidP="00044634">
            <w:pPr>
              <w:jc w:val="both"/>
              <w:rPr>
                <w:rFonts w:cs="Arial"/>
                <w:b/>
                <w:bCs/>
                <w:sz w:val="20"/>
                <w:szCs w:val="20"/>
              </w:rPr>
            </w:pPr>
            <w:r w:rsidRPr="000A6A94">
              <w:rPr>
                <w:rFonts w:cs="Arial"/>
                <w:b/>
                <w:bCs/>
                <w:sz w:val="20"/>
                <w:szCs w:val="20"/>
              </w:rPr>
              <w:t xml:space="preserve">3.00 p.m. on the January </w:t>
            </w:r>
            <w:r w:rsidR="0068259C">
              <w:rPr>
                <w:rFonts w:cs="Arial"/>
                <w:b/>
                <w:bCs/>
                <w:sz w:val="20"/>
                <w:szCs w:val="20"/>
              </w:rPr>
              <w:t>12</w:t>
            </w:r>
            <w:r w:rsidRPr="000A6A94">
              <w:rPr>
                <w:rFonts w:cs="Arial"/>
                <w:b/>
                <w:bCs/>
                <w:sz w:val="20"/>
                <w:szCs w:val="20"/>
              </w:rPr>
              <w:t>, 2022</w:t>
            </w:r>
          </w:p>
        </w:tc>
      </w:tr>
      <w:tr w:rsidR="00906F80" w:rsidRPr="00D01DF5" w14:paraId="003C0B5D" w14:textId="77777777" w:rsidTr="00044634">
        <w:tc>
          <w:tcPr>
            <w:tcW w:w="5058" w:type="dxa"/>
            <w:tcBorders>
              <w:top w:val="single" w:sz="8" w:space="0" w:color="4F81BD"/>
              <w:left w:val="single" w:sz="8" w:space="0" w:color="4F81BD"/>
              <w:bottom w:val="single" w:sz="8" w:space="0" w:color="4F81BD"/>
              <w:right w:val="single" w:sz="8" w:space="0" w:color="4F81BD"/>
            </w:tcBorders>
            <w:hideMark/>
          </w:tcPr>
          <w:p w14:paraId="176455C0" w14:textId="77777777" w:rsidR="00906F80" w:rsidRPr="003F6BF4" w:rsidRDefault="00906F80" w:rsidP="00044634">
            <w:pPr>
              <w:jc w:val="both"/>
              <w:rPr>
                <w:rFonts w:cs="Arial"/>
                <w:b/>
                <w:bCs/>
                <w:sz w:val="20"/>
                <w:szCs w:val="20"/>
              </w:rPr>
            </w:pPr>
            <w:r w:rsidRPr="003F6BF4">
              <w:rPr>
                <w:rFonts w:cs="Arial"/>
                <w:b/>
                <w:bCs/>
                <w:sz w:val="20"/>
                <w:szCs w:val="20"/>
              </w:rPr>
              <w:t xml:space="preserve">Announcement of Pre-qualification results (Item 3.2)  </w:t>
            </w:r>
          </w:p>
        </w:tc>
        <w:tc>
          <w:tcPr>
            <w:tcW w:w="4146" w:type="dxa"/>
            <w:tcBorders>
              <w:top w:val="single" w:sz="8" w:space="0" w:color="4F81BD"/>
              <w:left w:val="single" w:sz="8" w:space="0" w:color="4F81BD"/>
              <w:bottom w:val="single" w:sz="8" w:space="0" w:color="4F81BD"/>
              <w:right w:val="single" w:sz="8" w:space="0" w:color="4F81BD"/>
            </w:tcBorders>
            <w:hideMark/>
          </w:tcPr>
          <w:p w14:paraId="7F3A7233" w14:textId="4A69E2DC" w:rsidR="00906F80" w:rsidRPr="000A6A94" w:rsidRDefault="00906F80" w:rsidP="00044634">
            <w:pPr>
              <w:jc w:val="both"/>
              <w:rPr>
                <w:rFonts w:cs="Arial"/>
                <w:b/>
                <w:bCs/>
                <w:sz w:val="20"/>
                <w:szCs w:val="20"/>
              </w:rPr>
            </w:pPr>
            <w:r w:rsidRPr="000A6A94">
              <w:rPr>
                <w:rFonts w:cs="Arial"/>
                <w:b/>
                <w:bCs/>
                <w:sz w:val="20"/>
                <w:szCs w:val="20"/>
              </w:rPr>
              <w:t>On or before January 1</w:t>
            </w:r>
            <w:r w:rsidR="0068259C">
              <w:rPr>
                <w:rFonts w:cs="Arial"/>
                <w:b/>
                <w:bCs/>
                <w:sz w:val="20"/>
                <w:szCs w:val="20"/>
              </w:rPr>
              <w:t>7</w:t>
            </w:r>
            <w:r w:rsidR="00C02044" w:rsidRPr="000A6A94">
              <w:rPr>
                <w:rFonts w:cs="Arial"/>
                <w:b/>
                <w:bCs/>
                <w:sz w:val="20"/>
                <w:szCs w:val="20"/>
              </w:rPr>
              <w:t>,</w:t>
            </w:r>
            <w:r w:rsidRPr="000A6A94">
              <w:rPr>
                <w:rFonts w:cs="Arial"/>
                <w:b/>
                <w:bCs/>
                <w:sz w:val="20"/>
                <w:szCs w:val="20"/>
              </w:rPr>
              <w:t xml:space="preserve"> 2022</w:t>
            </w:r>
          </w:p>
        </w:tc>
      </w:tr>
      <w:tr w:rsidR="00906F80" w:rsidRPr="00D01DF5" w14:paraId="16A38664" w14:textId="77777777" w:rsidTr="00044634">
        <w:tc>
          <w:tcPr>
            <w:tcW w:w="5058" w:type="dxa"/>
            <w:tcBorders>
              <w:top w:val="single" w:sz="8" w:space="0" w:color="4F81BD"/>
              <w:left w:val="single" w:sz="8" w:space="0" w:color="4F81BD"/>
              <w:bottom w:val="single" w:sz="8" w:space="0" w:color="4F81BD"/>
              <w:right w:val="single" w:sz="8" w:space="0" w:color="4F81BD"/>
            </w:tcBorders>
            <w:hideMark/>
          </w:tcPr>
          <w:p w14:paraId="1A8C9394" w14:textId="77777777" w:rsidR="00906F80" w:rsidRPr="003F6BF4" w:rsidRDefault="00906F80" w:rsidP="00044634">
            <w:pPr>
              <w:jc w:val="both"/>
              <w:rPr>
                <w:rFonts w:cs="Arial"/>
                <w:b/>
                <w:bCs/>
                <w:sz w:val="20"/>
                <w:szCs w:val="20"/>
              </w:rPr>
            </w:pPr>
            <w:r w:rsidRPr="003F6BF4">
              <w:rPr>
                <w:rFonts w:cs="Arial"/>
                <w:b/>
                <w:bCs/>
                <w:sz w:val="20"/>
                <w:szCs w:val="20"/>
              </w:rPr>
              <w:t>Submission of Presentation slides to the Investor Panel (Item 3.3)</w:t>
            </w:r>
          </w:p>
        </w:tc>
        <w:tc>
          <w:tcPr>
            <w:tcW w:w="4146" w:type="dxa"/>
            <w:tcBorders>
              <w:top w:val="nil"/>
              <w:left w:val="single" w:sz="8" w:space="0" w:color="4F81BD"/>
              <w:bottom w:val="nil"/>
              <w:right w:val="single" w:sz="8" w:space="0" w:color="4F81BD"/>
            </w:tcBorders>
            <w:hideMark/>
          </w:tcPr>
          <w:p w14:paraId="1E064F5D" w14:textId="28552105" w:rsidR="00906F80" w:rsidRPr="000A6A94" w:rsidRDefault="00906F80" w:rsidP="00044634">
            <w:pPr>
              <w:jc w:val="both"/>
              <w:rPr>
                <w:rFonts w:cs="Arial"/>
                <w:b/>
                <w:bCs/>
                <w:sz w:val="20"/>
                <w:szCs w:val="20"/>
              </w:rPr>
            </w:pPr>
            <w:r w:rsidRPr="000A6A94">
              <w:rPr>
                <w:rFonts w:cs="Arial"/>
                <w:b/>
                <w:bCs/>
                <w:sz w:val="20"/>
                <w:szCs w:val="20"/>
              </w:rPr>
              <w:t xml:space="preserve">On or before </w:t>
            </w:r>
            <w:r w:rsidR="008A338F">
              <w:rPr>
                <w:rFonts w:cs="Arial"/>
                <w:b/>
                <w:bCs/>
                <w:sz w:val="20"/>
                <w:szCs w:val="20"/>
              </w:rPr>
              <w:t>Jan</w:t>
            </w:r>
            <w:r w:rsidR="0068259C">
              <w:rPr>
                <w:rFonts w:cs="Arial"/>
                <w:b/>
                <w:bCs/>
                <w:sz w:val="20"/>
                <w:szCs w:val="20"/>
              </w:rPr>
              <w:t>u</w:t>
            </w:r>
            <w:r w:rsidRPr="000A6A94">
              <w:rPr>
                <w:rFonts w:cs="Arial"/>
                <w:b/>
                <w:bCs/>
                <w:sz w:val="20"/>
                <w:szCs w:val="20"/>
              </w:rPr>
              <w:t xml:space="preserve">ary </w:t>
            </w:r>
            <w:r w:rsidR="008A338F">
              <w:rPr>
                <w:rFonts w:cs="Arial"/>
                <w:b/>
                <w:bCs/>
                <w:sz w:val="20"/>
                <w:szCs w:val="20"/>
              </w:rPr>
              <w:t>3</w:t>
            </w:r>
            <w:r w:rsidR="0068259C">
              <w:rPr>
                <w:rFonts w:cs="Arial"/>
                <w:b/>
                <w:bCs/>
                <w:sz w:val="20"/>
                <w:szCs w:val="20"/>
              </w:rPr>
              <w:t>1</w:t>
            </w:r>
            <w:r w:rsidRPr="000A6A94">
              <w:rPr>
                <w:rFonts w:cs="Arial"/>
                <w:b/>
                <w:bCs/>
                <w:sz w:val="20"/>
                <w:szCs w:val="20"/>
              </w:rPr>
              <w:t>, 2022</w:t>
            </w:r>
          </w:p>
          <w:p w14:paraId="731F6646" w14:textId="77777777" w:rsidR="00906F80" w:rsidRPr="000A6A94" w:rsidRDefault="00906F80" w:rsidP="00044634">
            <w:pPr>
              <w:jc w:val="both"/>
              <w:rPr>
                <w:rFonts w:cs="Arial"/>
                <w:b/>
                <w:bCs/>
                <w:sz w:val="20"/>
                <w:szCs w:val="20"/>
              </w:rPr>
            </w:pPr>
            <w:r w:rsidRPr="000A6A94">
              <w:rPr>
                <w:rFonts w:cs="Arial"/>
                <w:b/>
                <w:bCs/>
                <w:sz w:val="20"/>
                <w:szCs w:val="20"/>
              </w:rPr>
              <w:t>(5 days prior to   Investor Panel presentation)</w:t>
            </w:r>
          </w:p>
        </w:tc>
      </w:tr>
      <w:tr w:rsidR="00906F80" w:rsidRPr="00D01DF5" w14:paraId="42640176" w14:textId="77777777" w:rsidTr="00044634">
        <w:tc>
          <w:tcPr>
            <w:tcW w:w="5058" w:type="dxa"/>
            <w:tcBorders>
              <w:top w:val="single" w:sz="8" w:space="0" w:color="4F81BD"/>
              <w:left w:val="single" w:sz="8" w:space="0" w:color="4F81BD"/>
              <w:bottom w:val="single" w:sz="8" w:space="0" w:color="4F81BD"/>
              <w:right w:val="single" w:sz="8" w:space="0" w:color="4F81BD"/>
            </w:tcBorders>
            <w:hideMark/>
          </w:tcPr>
          <w:p w14:paraId="1A6760A7" w14:textId="77777777" w:rsidR="00906F80" w:rsidRPr="003F6BF4" w:rsidRDefault="00906F80" w:rsidP="00044634">
            <w:pPr>
              <w:jc w:val="both"/>
              <w:rPr>
                <w:rFonts w:cs="Arial"/>
                <w:b/>
                <w:bCs/>
                <w:sz w:val="20"/>
                <w:szCs w:val="20"/>
              </w:rPr>
            </w:pPr>
            <w:r w:rsidRPr="003F6BF4">
              <w:rPr>
                <w:rFonts w:cs="Arial"/>
                <w:b/>
                <w:bCs/>
                <w:sz w:val="20"/>
                <w:szCs w:val="20"/>
              </w:rPr>
              <w:t xml:space="preserve"> Investor Panel, presentation (Item 3.3)</w:t>
            </w:r>
          </w:p>
        </w:tc>
        <w:tc>
          <w:tcPr>
            <w:tcW w:w="4146" w:type="dxa"/>
            <w:tcBorders>
              <w:top w:val="single" w:sz="8" w:space="0" w:color="4F81BD"/>
              <w:left w:val="single" w:sz="8" w:space="0" w:color="4F81BD"/>
              <w:bottom w:val="single" w:sz="8" w:space="0" w:color="4F81BD"/>
              <w:right w:val="single" w:sz="8" w:space="0" w:color="4F81BD"/>
            </w:tcBorders>
            <w:hideMark/>
          </w:tcPr>
          <w:p w14:paraId="0AF3B499" w14:textId="1AE19D2D" w:rsidR="00906F80" w:rsidRPr="000A6A94" w:rsidRDefault="00906F80" w:rsidP="00044634">
            <w:pPr>
              <w:jc w:val="both"/>
              <w:rPr>
                <w:rFonts w:cs="Arial"/>
                <w:b/>
                <w:bCs/>
                <w:sz w:val="20"/>
                <w:szCs w:val="20"/>
              </w:rPr>
            </w:pPr>
            <w:r w:rsidRPr="000A6A94">
              <w:rPr>
                <w:rFonts w:cs="Arial"/>
                <w:b/>
                <w:bCs/>
                <w:sz w:val="20"/>
                <w:szCs w:val="20"/>
              </w:rPr>
              <w:t xml:space="preserve">On or around the period </w:t>
            </w:r>
            <w:r w:rsidR="0068259C">
              <w:rPr>
                <w:rFonts w:cs="Arial"/>
                <w:b/>
                <w:bCs/>
                <w:sz w:val="20"/>
                <w:szCs w:val="20"/>
              </w:rPr>
              <w:t>February 7</w:t>
            </w:r>
            <w:r w:rsidRPr="000A6A94">
              <w:rPr>
                <w:rFonts w:cs="Arial"/>
                <w:b/>
                <w:bCs/>
                <w:sz w:val="20"/>
                <w:szCs w:val="20"/>
              </w:rPr>
              <w:t xml:space="preserve">-February </w:t>
            </w:r>
            <w:r w:rsidR="0068259C">
              <w:rPr>
                <w:rFonts w:cs="Arial"/>
                <w:b/>
                <w:bCs/>
                <w:sz w:val="20"/>
                <w:szCs w:val="20"/>
              </w:rPr>
              <w:t>11</w:t>
            </w:r>
            <w:r w:rsidRPr="000A6A94">
              <w:rPr>
                <w:rFonts w:cs="Arial"/>
                <w:b/>
                <w:bCs/>
                <w:sz w:val="20"/>
                <w:szCs w:val="20"/>
              </w:rPr>
              <w:t>, 2022</w:t>
            </w:r>
          </w:p>
        </w:tc>
      </w:tr>
      <w:tr w:rsidR="00906F80" w:rsidRPr="00D01DF5" w14:paraId="0723032A" w14:textId="77777777" w:rsidTr="00044634">
        <w:trPr>
          <w:trHeight w:val="519"/>
        </w:trPr>
        <w:tc>
          <w:tcPr>
            <w:tcW w:w="5058" w:type="dxa"/>
            <w:tcBorders>
              <w:top w:val="single" w:sz="8" w:space="0" w:color="4F81BD"/>
              <w:left w:val="single" w:sz="8" w:space="0" w:color="4F81BD"/>
              <w:bottom w:val="single" w:sz="8" w:space="0" w:color="4F81BD"/>
              <w:right w:val="single" w:sz="8" w:space="0" w:color="4F81BD"/>
            </w:tcBorders>
            <w:hideMark/>
          </w:tcPr>
          <w:p w14:paraId="1198E855" w14:textId="77777777" w:rsidR="00906F80" w:rsidRPr="003F6BF4" w:rsidRDefault="00906F80" w:rsidP="00044634">
            <w:pPr>
              <w:jc w:val="both"/>
              <w:rPr>
                <w:rFonts w:cs="Arial"/>
                <w:b/>
                <w:bCs/>
                <w:sz w:val="20"/>
                <w:szCs w:val="20"/>
              </w:rPr>
            </w:pPr>
            <w:r w:rsidRPr="003F6BF4">
              <w:rPr>
                <w:rFonts w:cs="Arial"/>
                <w:b/>
                <w:bCs/>
                <w:sz w:val="20"/>
                <w:szCs w:val="20"/>
              </w:rPr>
              <w:t>Deadline to receive the results from the Investor Panel (Item 3.4)</w:t>
            </w:r>
          </w:p>
        </w:tc>
        <w:tc>
          <w:tcPr>
            <w:tcW w:w="4146" w:type="dxa"/>
            <w:tcBorders>
              <w:top w:val="nil"/>
              <w:left w:val="single" w:sz="8" w:space="0" w:color="4F81BD"/>
              <w:bottom w:val="single" w:sz="8" w:space="0" w:color="4F81BD"/>
              <w:right w:val="single" w:sz="8" w:space="0" w:color="4F81BD"/>
            </w:tcBorders>
            <w:hideMark/>
          </w:tcPr>
          <w:p w14:paraId="3215BDE7" w14:textId="77777777" w:rsidR="00906F80" w:rsidRPr="000A6A94" w:rsidRDefault="00906F80" w:rsidP="00044634">
            <w:pPr>
              <w:tabs>
                <w:tab w:val="left" w:pos="480"/>
              </w:tabs>
              <w:rPr>
                <w:rFonts w:cs="Arial"/>
                <w:b/>
                <w:bCs/>
                <w:sz w:val="20"/>
                <w:szCs w:val="20"/>
              </w:rPr>
            </w:pPr>
            <w:r w:rsidRPr="000A6A94">
              <w:rPr>
                <w:rFonts w:cs="Arial"/>
                <w:b/>
                <w:bCs/>
                <w:sz w:val="20"/>
                <w:szCs w:val="20"/>
              </w:rPr>
              <w:t xml:space="preserve">Within 10 days following the Investor Panel presentation </w:t>
            </w:r>
          </w:p>
        </w:tc>
      </w:tr>
    </w:tbl>
    <w:p w14:paraId="653D173B" w14:textId="77777777" w:rsidR="00906F80" w:rsidRDefault="00906F80" w:rsidP="00906F80"/>
    <w:p w14:paraId="546D490E" w14:textId="0BE03455" w:rsidR="00796066" w:rsidRDefault="00796066">
      <w:bookmarkStart w:id="59" w:name="_Toc392698190"/>
      <w:bookmarkStart w:id="60" w:name="_Toc429390676"/>
    </w:p>
    <w:p w14:paraId="33446956" w14:textId="1EE2B228" w:rsidR="00D16CFA" w:rsidRDefault="00D16CFA"/>
    <w:p w14:paraId="79D9594E" w14:textId="7E3E1014" w:rsidR="00D16CFA" w:rsidRDefault="00D16CFA"/>
    <w:p w14:paraId="2DFBC4D4" w14:textId="3007F60B" w:rsidR="00D16CFA" w:rsidRDefault="00D16CFA"/>
    <w:p w14:paraId="3C76D179" w14:textId="6FEA197C" w:rsidR="008A0D88" w:rsidRDefault="008A0D88">
      <w:pPr>
        <w:spacing w:after="160" w:line="259" w:lineRule="auto"/>
      </w:pPr>
      <w:r>
        <w:br w:type="page"/>
      </w:r>
    </w:p>
    <w:p w14:paraId="77A0DDDC" w14:textId="1D8EDE6D" w:rsidR="00E445B8" w:rsidRPr="00473E0A" w:rsidRDefault="00E445B8" w:rsidP="00625D6F">
      <w:pPr>
        <w:pStyle w:val="Heading1"/>
        <w:keepLines w:val="0"/>
        <w:numPr>
          <w:ilvl w:val="0"/>
          <w:numId w:val="30"/>
        </w:numPr>
        <w:spacing w:before="240" w:after="60"/>
        <w:rPr>
          <w:rFonts w:asciiTheme="minorHAnsi" w:hAnsiTheme="minorHAnsi"/>
          <w:color w:val="1F497D"/>
        </w:rPr>
      </w:pPr>
      <w:bookmarkStart w:id="61" w:name="_Toc31010199"/>
      <w:r w:rsidRPr="00E244B6">
        <w:rPr>
          <w:rFonts w:asciiTheme="minorHAnsi" w:hAnsiTheme="minorHAnsi"/>
          <w:color w:val="1F497D"/>
        </w:rPr>
        <w:lastRenderedPageBreak/>
        <w:t>Definitions</w:t>
      </w:r>
      <w:bookmarkEnd w:id="59"/>
      <w:bookmarkEnd w:id="60"/>
      <w:bookmarkEnd w:id="61"/>
    </w:p>
    <w:p w14:paraId="716C4ACA"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lang w:val="en-GB"/>
        </w:rPr>
      </w:pPr>
      <w:r w:rsidRPr="00E244B6">
        <w:rPr>
          <w:rFonts w:asciiTheme="minorHAnsi" w:hAnsiTheme="minorHAnsi" w:cs="Arial"/>
          <w:b/>
          <w:sz w:val="20"/>
          <w:szCs w:val="20"/>
          <w:lang w:val="en-GB"/>
        </w:rPr>
        <w:t>Applicant</w:t>
      </w:r>
      <w:r w:rsidRPr="00E244B6">
        <w:rPr>
          <w:rFonts w:asciiTheme="minorHAnsi" w:hAnsiTheme="minorHAnsi" w:cs="Arial"/>
          <w:sz w:val="20"/>
          <w:szCs w:val="20"/>
          <w:lang w:val="en-GB"/>
        </w:rPr>
        <w:t>: The entity submitting a Proposal in response to the CFP.</w:t>
      </w:r>
    </w:p>
    <w:p w14:paraId="627E099D" w14:textId="77777777" w:rsidR="00E445B8" w:rsidRPr="00E244B6" w:rsidRDefault="00E445B8" w:rsidP="000C2D6C">
      <w:pPr>
        <w:pStyle w:val="LightGrid-Accent31"/>
        <w:spacing w:line="276" w:lineRule="auto"/>
        <w:ind w:left="0"/>
        <w:jc w:val="both"/>
        <w:rPr>
          <w:rFonts w:asciiTheme="minorHAnsi" w:hAnsiTheme="minorHAnsi" w:cs="Arial"/>
          <w:b/>
          <w:sz w:val="20"/>
          <w:szCs w:val="20"/>
          <w:lang w:val="en-GB"/>
        </w:rPr>
      </w:pPr>
    </w:p>
    <w:p w14:paraId="1843AAF9" w14:textId="63BB6BCD" w:rsidR="00E445B8" w:rsidRPr="00E244B6" w:rsidRDefault="00E445B8">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lang w:val="en-GB"/>
        </w:rPr>
        <w:t>Fund Manager:</w:t>
      </w:r>
      <w:r w:rsidRPr="00E244B6">
        <w:rPr>
          <w:rFonts w:asciiTheme="minorHAnsi" w:hAnsiTheme="minorHAnsi"/>
          <w:b/>
          <w:lang w:val="en-GB"/>
        </w:rPr>
        <w:t xml:space="preserve"> </w:t>
      </w:r>
      <w:r w:rsidRPr="00E244B6">
        <w:rPr>
          <w:rFonts w:asciiTheme="minorHAnsi" w:hAnsiTheme="minorHAnsi" w:cs="Arial"/>
          <w:sz w:val="20"/>
          <w:szCs w:val="20"/>
        </w:rPr>
        <w:t>The person(s) who manage</w:t>
      </w:r>
      <w:r w:rsidR="00A26281">
        <w:rPr>
          <w:rFonts w:asciiTheme="minorHAnsi" w:hAnsiTheme="minorHAnsi" w:cs="Arial"/>
          <w:sz w:val="20"/>
          <w:szCs w:val="20"/>
        </w:rPr>
        <w:t>s</w:t>
      </w:r>
      <w:r w:rsidRPr="00E244B6">
        <w:rPr>
          <w:rFonts w:asciiTheme="minorHAnsi" w:hAnsiTheme="minorHAnsi" w:cs="Arial"/>
          <w:sz w:val="20"/>
          <w:szCs w:val="20"/>
        </w:rPr>
        <w:t xml:space="preserve"> and operate</w:t>
      </w:r>
      <w:r w:rsidR="00A26281">
        <w:rPr>
          <w:rFonts w:asciiTheme="minorHAnsi" w:hAnsiTheme="minorHAnsi" w:cs="Arial"/>
          <w:sz w:val="20"/>
          <w:szCs w:val="20"/>
        </w:rPr>
        <w:t>s</w:t>
      </w:r>
      <w:r w:rsidRPr="00E244B6">
        <w:rPr>
          <w:rFonts w:asciiTheme="minorHAnsi" w:hAnsiTheme="minorHAnsi" w:cs="Arial"/>
          <w:sz w:val="20"/>
          <w:szCs w:val="20"/>
        </w:rPr>
        <w:t xml:space="preserve"> private equity or venture capital funds.</w:t>
      </w:r>
    </w:p>
    <w:p w14:paraId="7702CB40" w14:textId="77777777" w:rsidR="00E445B8" w:rsidRPr="00E244B6" w:rsidRDefault="00E445B8">
      <w:pPr>
        <w:pStyle w:val="LightGrid-Accent31"/>
        <w:spacing w:after="200" w:line="276" w:lineRule="auto"/>
        <w:ind w:left="0"/>
        <w:jc w:val="both"/>
        <w:rPr>
          <w:rFonts w:asciiTheme="minorHAnsi" w:hAnsiTheme="minorHAnsi" w:cs="Arial"/>
          <w:sz w:val="20"/>
          <w:szCs w:val="20"/>
        </w:rPr>
      </w:pPr>
    </w:p>
    <w:p w14:paraId="413C4A50" w14:textId="073FC770" w:rsidR="00E445B8" w:rsidRPr="00E244B6" w:rsidRDefault="00E445B8" w:rsidP="000C2D6C">
      <w:pPr>
        <w:pStyle w:val="LightGrid-Accent31"/>
        <w:spacing w:line="276" w:lineRule="auto"/>
        <w:ind w:left="0"/>
        <w:jc w:val="both"/>
        <w:rPr>
          <w:rFonts w:asciiTheme="minorHAnsi" w:hAnsiTheme="minorHAnsi" w:cs="Arial"/>
          <w:b/>
          <w:sz w:val="20"/>
          <w:szCs w:val="20"/>
          <w:lang w:val="en-GB"/>
        </w:rPr>
      </w:pPr>
      <w:r w:rsidRPr="00E244B6">
        <w:rPr>
          <w:rFonts w:asciiTheme="minorHAnsi" w:hAnsiTheme="minorHAnsi" w:cs="Arial"/>
          <w:b/>
          <w:sz w:val="20"/>
          <w:szCs w:val="20"/>
          <w:lang w:val="en-GB"/>
        </w:rPr>
        <w:t xml:space="preserve">Growth/Expansion Capital: </w:t>
      </w:r>
      <w:r w:rsidRPr="00E244B6">
        <w:rPr>
          <w:rFonts w:asciiTheme="minorHAnsi" w:hAnsiTheme="minorHAnsi" w:cs="Arial"/>
          <w:sz w:val="20"/>
          <w:szCs w:val="20"/>
          <w:lang w:val="en-GB"/>
        </w:rPr>
        <w:t>Investment</w:t>
      </w:r>
      <w:r w:rsidRPr="00E244B6">
        <w:rPr>
          <w:rFonts w:asciiTheme="minorHAnsi" w:hAnsiTheme="minorHAnsi" w:cs="Arial"/>
          <w:b/>
          <w:sz w:val="20"/>
          <w:szCs w:val="20"/>
          <w:lang w:val="en-GB"/>
        </w:rPr>
        <w:t xml:space="preserve"> </w:t>
      </w:r>
      <w:r w:rsidRPr="00E244B6">
        <w:rPr>
          <w:rFonts w:asciiTheme="minorHAnsi" w:hAnsiTheme="minorHAnsi" w:cs="Arial"/>
          <w:sz w:val="20"/>
          <w:szCs w:val="20"/>
          <w:lang w:val="en"/>
        </w:rPr>
        <w:t>in relatively mature companies that are looking for capital to expand or restructure operations, enter new markets</w:t>
      </w:r>
      <w:r w:rsidR="005A61C8">
        <w:rPr>
          <w:rFonts w:asciiTheme="minorHAnsi" w:hAnsiTheme="minorHAnsi" w:cs="Arial"/>
          <w:sz w:val="20"/>
          <w:szCs w:val="20"/>
          <w:lang w:val="en"/>
        </w:rPr>
        <w:t>,</w:t>
      </w:r>
      <w:r w:rsidRPr="00E244B6">
        <w:rPr>
          <w:rFonts w:asciiTheme="minorHAnsi" w:hAnsiTheme="minorHAnsi" w:cs="Arial"/>
          <w:sz w:val="20"/>
          <w:szCs w:val="20"/>
          <w:lang w:val="en"/>
        </w:rPr>
        <w:t xml:space="preserve"> or finance a significant acquisition without a change of control of the business.</w:t>
      </w:r>
    </w:p>
    <w:p w14:paraId="40FBC6D7"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1607EF8A"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rPr>
        <w:t>Innovation:</w:t>
      </w:r>
      <w:r w:rsidRPr="00E244B6">
        <w:rPr>
          <w:rFonts w:asciiTheme="minorHAnsi" w:hAnsiTheme="minorHAnsi" w:cs="Arial"/>
          <w:sz w:val="20"/>
          <w:szCs w:val="20"/>
        </w:rPr>
        <w:t xml:space="preserve"> Relates to the implementation of a new or significantly improved product (good or service) or process, a new marketing method, or a new organizational method in business practices, workplace organization or external relations.  Three levels of novelty can be distinguished from the process of innovation: new to the firm, new to the market and new to the world.</w:t>
      </w:r>
    </w:p>
    <w:p w14:paraId="497D34E8"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p>
    <w:p w14:paraId="636395D3" w14:textId="1D31377A" w:rsidR="00E445B8" w:rsidRPr="00E244B6"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 xml:space="preserve">Investee Companies: </w:t>
      </w:r>
      <w:r w:rsidRPr="00E244B6">
        <w:rPr>
          <w:rFonts w:asciiTheme="minorHAnsi" w:hAnsiTheme="minorHAnsi" w:cs="Arial"/>
          <w:sz w:val="20"/>
          <w:szCs w:val="20"/>
        </w:rPr>
        <w:t xml:space="preserve">Those companies targeted by the Fund Manager as part of the portfolio in a VC or PE </w:t>
      </w:r>
      <w:r w:rsidR="00A26281">
        <w:rPr>
          <w:rFonts w:asciiTheme="minorHAnsi" w:hAnsiTheme="minorHAnsi" w:cs="Arial"/>
          <w:sz w:val="20"/>
          <w:szCs w:val="20"/>
        </w:rPr>
        <w:t>f</w:t>
      </w:r>
      <w:r w:rsidR="00A26281" w:rsidRPr="00E244B6">
        <w:rPr>
          <w:rFonts w:asciiTheme="minorHAnsi" w:hAnsiTheme="minorHAnsi" w:cs="Arial"/>
          <w:sz w:val="20"/>
          <w:szCs w:val="20"/>
        </w:rPr>
        <w:t>und</w:t>
      </w:r>
      <w:r w:rsidRPr="00E244B6">
        <w:rPr>
          <w:rFonts w:asciiTheme="minorHAnsi" w:hAnsiTheme="minorHAnsi" w:cs="Arial"/>
          <w:sz w:val="20"/>
          <w:szCs w:val="20"/>
        </w:rPr>
        <w:t>.</w:t>
      </w:r>
    </w:p>
    <w:p w14:paraId="7E77AEEB"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507E6375" w14:textId="77777777" w:rsidR="00E445B8" w:rsidRPr="00E244B6"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Investment Fund (Fund)</w:t>
      </w:r>
      <w:r w:rsidRPr="00E244B6">
        <w:rPr>
          <w:rFonts w:asciiTheme="minorHAnsi" w:hAnsiTheme="minorHAnsi" w:cs="Arial"/>
          <w:sz w:val="20"/>
          <w:szCs w:val="20"/>
        </w:rPr>
        <w:t>: Financial resources pooled with the objective of achieving earnings based on the equity contributions in innovative companies with elevated growth potential.</w:t>
      </w:r>
    </w:p>
    <w:p w14:paraId="1BBA6389" w14:textId="77777777" w:rsidR="00E445B8" w:rsidRPr="00E244B6" w:rsidRDefault="00E445B8" w:rsidP="000C2D6C">
      <w:pPr>
        <w:pStyle w:val="LightGrid-Accent31"/>
        <w:spacing w:after="200" w:line="276" w:lineRule="auto"/>
        <w:ind w:left="0"/>
        <w:jc w:val="both"/>
        <w:rPr>
          <w:rFonts w:asciiTheme="minorHAnsi" w:hAnsiTheme="minorHAnsi" w:cs="Arial"/>
          <w:b/>
          <w:sz w:val="20"/>
          <w:szCs w:val="20"/>
        </w:rPr>
      </w:pPr>
    </w:p>
    <w:p w14:paraId="5889450D" w14:textId="2D4617DD" w:rsidR="00E445B8" w:rsidRPr="00E244B6" w:rsidRDefault="00E445B8" w:rsidP="000C2D6C">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rPr>
        <w:t>Investor</w:t>
      </w:r>
      <w:r w:rsidR="005D12D1">
        <w:rPr>
          <w:rFonts w:asciiTheme="minorHAnsi" w:hAnsiTheme="minorHAnsi" w:cs="Arial"/>
          <w:b/>
          <w:sz w:val="20"/>
          <w:szCs w:val="20"/>
        </w:rPr>
        <w:t xml:space="preserve"> Panel</w:t>
      </w:r>
      <w:r w:rsidRPr="00E244B6">
        <w:rPr>
          <w:rFonts w:asciiTheme="minorHAnsi" w:hAnsiTheme="minorHAnsi" w:cs="Arial"/>
          <w:sz w:val="20"/>
          <w:szCs w:val="20"/>
        </w:rPr>
        <w:t>: Development Bank of Jamaica</w:t>
      </w:r>
      <w:r w:rsidR="00202A82">
        <w:rPr>
          <w:rFonts w:asciiTheme="minorHAnsi" w:hAnsiTheme="minorHAnsi" w:cs="Arial"/>
          <w:sz w:val="20"/>
          <w:szCs w:val="20"/>
        </w:rPr>
        <w:t xml:space="preserve"> Limited</w:t>
      </w:r>
      <w:r w:rsidRPr="00E244B6">
        <w:rPr>
          <w:rFonts w:asciiTheme="minorHAnsi" w:hAnsiTheme="minorHAnsi" w:cs="Arial"/>
          <w:sz w:val="20"/>
          <w:szCs w:val="20"/>
        </w:rPr>
        <w:t xml:space="preserve"> along with other corporate and institutional investors including investors from </w:t>
      </w:r>
      <w:r w:rsidR="00A26281">
        <w:rPr>
          <w:rFonts w:asciiTheme="minorHAnsi" w:hAnsiTheme="minorHAnsi" w:cs="Arial"/>
          <w:sz w:val="20"/>
          <w:szCs w:val="20"/>
        </w:rPr>
        <w:t xml:space="preserve">the </w:t>
      </w:r>
      <w:r w:rsidRPr="00E244B6">
        <w:rPr>
          <w:rFonts w:asciiTheme="minorHAnsi" w:hAnsiTheme="minorHAnsi" w:cs="Arial"/>
          <w:sz w:val="20"/>
          <w:szCs w:val="20"/>
        </w:rPr>
        <w:t>public as well as private sector institutions.</w:t>
      </w:r>
    </w:p>
    <w:p w14:paraId="252AEC1A" w14:textId="77777777" w:rsidR="00E445B8" w:rsidRPr="00E244B6" w:rsidRDefault="00E445B8" w:rsidP="000C2D6C">
      <w:pPr>
        <w:pStyle w:val="LightGrid-Accent31"/>
        <w:spacing w:line="276" w:lineRule="auto"/>
        <w:ind w:left="0"/>
        <w:jc w:val="both"/>
        <w:rPr>
          <w:rFonts w:asciiTheme="minorHAnsi" w:hAnsiTheme="minorHAnsi" w:cs="Arial"/>
          <w:sz w:val="20"/>
          <w:szCs w:val="20"/>
        </w:rPr>
      </w:pPr>
    </w:p>
    <w:p w14:paraId="51D4F11F" w14:textId="15E75FA8" w:rsidR="005B7FA2"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Jamaican Companies</w:t>
      </w:r>
      <w:r w:rsidRPr="00E244B6">
        <w:rPr>
          <w:rFonts w:asciiTheme="minorHAnsi" w:hAnsiTheme="minorHAnsi" w:cs="Arial"/>
          <w:sz w:val="20"/>
          <w:szCs w:val="20"/>
        </w:rPr>
        <w:t>: This means those companies operating in Jamaica whether</w:t>
      </w:r>
      <w:r w:rsidR="005A61C8">
        <w:rPr>
          <w:rFonts w:asciiTheme="minorHAnsi" w:hAnsiTheme="minorHAnsi" w:cs="Arial"/>
          <w:sz w:val="20"/>
          <w:szCs w:val="20"/>
        </w:rPr>
        <w:t>,</w:t>
      </w:r>
      <w:r w:rsidRPr="00E244B6">
        <w:rPr>
          <w:rFonts w:asciiTheme="minorHAnsi" w:hAnsiTheme="minorHAnsi" w:cs="Arial"/>
          <w:sz w:val="20"/>
          <w:szCs w:val="20"/>
        </w:rPr>
        <w:t xml:space="preserve"> or not</w:t>
      </w:r>
      <w:r w:rsidR="005A61C8">
        <w:rPr>
          <w:rFonts w:asciiTheme="minorHAnsi" w:hAnsiTheme="minorHAnsi" w:cs="Arial"/>
          <w:sz w:val="20"/>
          <w:szCs w:val="20"/>
        </w:rPr>
        <w:t>,</w:t>
      </w:r>
      <w:r w:rsidRPr="00E244B6">
        <w:rPr>
          <w:rFonts w:asciiTheme="minorHAnsi" w:hAnsiTheme="minorHAnsi" w:cs="Arial"/>
          <w:sz w:val="20"/>
          <w:szCs w:val="20"/>
        </w:rPr>
        <w:t xml:space="preserve"> incorporated in Jamaica. </w:t>
      </w:r>
    </w:p>
    <w:p w14:paraId="51D96B49" w14:textId="77777777" w:rsidR="005B7FA2" w:rsidRPr="00E244B6" w:rsidRDefault="005B7FA2" w:rsidP="000C2D6C">
      <w:pPr>
        <w:pStyle w:val="LightGrid-Accent31"/>
        <w:spacing w:line="276" w:lineRule="auto"/>
        <w:ind w:left="0"/>
        <w:jc w:val="both"/>
        <w:rPr>
          <w:rFonts w:asciiTheme="minorHAnsi" w:hAnsiTheme="minorHAnsi" w:cs="Arial"/>
          <w:sz w:val="20"/>
          <w:szCs w:val="20"/>
        </w:rPr>
      </w:pPr>
    </w:p>
    <w:p w14:paraId="6AA0D6D2"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lang w:val="en-GB"/>
        </w:rPr>
      </w:pPr>
      <w:r w:rsidRPr="00E244B6">
        <w:rPr>
          <w:rFonts w:asciiTheme="minorHAnsi" w:hAnsiTheme="minorHAnsi" w:cs="Arial"/>
          <w:b/>
          <w:sz w:val="20"/>
          <w:szCs w:val="20"/>
          <w:lang w:val="en-GB"/>
        </w:rPr>
        <w:t>Jamaica’s MSME Definition:</w:t>
      </w:r>
    </w:p>
    <w:tbl>
      <w:tblPr>
        <w:tblW w:w="820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58"/>
        <w:gridCol w:w="2082"/>
        <w:gridCol w:w="3568"/>
      </w:tblGrid>
      <w:tr w:rsidR="00E445B8" w:rsidRPr="00E244B6" w14:paraId="2ECE03AC" w14:textId="77777777" w:rsidTr="007876A8">
        <w:trPr>
          <w:trHeight w:val="386"/>
        </w:trPr>
        <w:tc>
          <w:tcPr>
            <w:tcW w:w="2558" w:type="dxa"/>
            <w:tcBorders>
              <w:top w:val="single" w:sz="8" w:space="0" w:color="4F81BD"/>
              <w:left w:val="single" w:sz="8" w:space="0" w:color="4F81BD"/>
              <w:bottom w:val="single" w:sz="8" w:space="0" w:color="4F81BD"/>
              <w:right w:val="single" w:sz="8" w:space="0" w:color="4F81BD"/>
            </w:tcBorders>
            <w:shd w:val="clear" w:color="auto" w:fill="4F81BD"/>
            <w:hideMark/>
          </w:tcPr>
          <w:p w14:paraId="3465F10F" w14:textId="77777777" w:rsidR="00E445B8" w:rsidRPr="00E244B6" w:rsidRDefault="00E445B8" w:rsidP="000C2D6C">
            <w:pPr>
              <w:pStyle w:val="LightGrid-Accent31"/>
              <w:spacing w:after="200" w:line="276" w:lineRule="auto"/>
              <w:jc w:val="center"/>
              <w:rPr>
                <w:rFonts w:asciiTheme="minorHAnsi" w:hAnsiTheme="minorHAnsi" w:cs="Arial"/>
                <w:b/>
                <w:bCs/>
                <w:color w:val="FFFFFF"/>
                <w:sz w:val="20"/>
                <w:szCs w:val="20"/>
                <w:lang w:val="en-GB"/>
              </w:rPr>
            </w:pPr>
            <w:r w:rsidRPr="00E244B6">
              <w:rPr>
                <w:rFonts w:asciiTheme="minorHAnsi" w:hAnsiTheme="minorHAnsi" w:cs="Arial"/>
                <w:b/>
                <w:bCs/>
                <w:color w:val="FFFFFF"/>
                <w:sz w:val="20"/>
                <w:szCs w:val="20"/>
                <w:lang w:val="en-GB"/>
              </w:rPr>
              <w:t>Firm Size</w:t>
            </w:r>
          </w:p>
        </w:tc>
        <w:tc>
          <w:tcPr>
            <w:tcW w:w="2082" w:type="dxa"/>
            <w:tcBorders>
              <w:top w:val="single" w:sz="8" w:space="0" w:color="4F81BD"/>
              <w:left w:val="single" w:sz="8" w:space="0" w:color="4F81BD"/>
              <w:bottom w:val="single" w:sz="8" w:space="0" w:color="4F81BD"/>
              <w:right w:val="single" w:sz="8" w:space="0" w:color="4F81BD"/>
            </w:tcBorders>
            <w:shd w:val="clear" w:color="auto" w:fill="4F81BD"/>
            <w:hideMark/>
          </w:tcPr>
          <w:p w14:paraId="45DD997A" w14:textId="77777777" w:rsidR="00E445B8" w:rsidRPr="00E244B6" w:rsidRDefault="00E445B8" w:rsidP="000C2D6C">
            <w:pPr>
              <w:pStyle w:val="LightGrid-Accent31"/>
              <w:spacing w:after="200" w:line="276" w:lineRule="auto"/>
              <w:ind w:left="0"/>
              <w:jc w:val="center"/>
              <w:rPr>
                <w:rFonts w:asciiTheme="minorHAnsi" w:hAnsiTheme="minorHAnsi" w:cs="Arial"/>
                <w:b/>
                <w:bCs/>
                <w:color w:val="FFFFFF"/>
                <w:sz w:val="20"/>
                <w:szCs w:val="20"/>
                <w:lang w:val="en-GB"/>
              </w:rPr>
            </w:pPr>
            <w:r w:rsidRPr="00E244B6">
              <w:rPr>
                <w:rFonts w:asciiTheme="minorHAnsi" w:hAnsiTheme="minorHAnsi" w:cs="Arial"/>
                <w:b/>
                <w:bCs/>
                <w:color w:val="FFFFFF"/>
                <w:sz w:val="20"/>
                <w:szCs w:val="20"/>
                <w:lang w:val="en-GB"/>
              </w:rPr>
              <w:t>No. of Employees</w:t>
            </w:r>
          </w:p>
        </w:tc>
        <w:tc>
          <w:tcPr>
            <w:tcW w:w="3568" w:type="dxa"/>
            <w:tcBorders>
              <w:top w:val="single" w:sz="8" w:space="0" w:color="4F81BD"/>
              <w:left w:val="single" w:sz="8" w:space="0" w:color="4F81BD"/>
              <w:bottom w:val="single" w:sz="8" w:space="0" w:color="4F81BD"/>
              <w:right w:val="single" w:sz="8" w:space="0" w:color="4F81BD"/>
            </w:tcBorders>
            <w:shd w:val="clear" w:color="auto" w:fill="4F81BD"/>
            <w:hideMark/>
          </w:tcPr>
          <w:p w14:paraId="6155ACAB" w14:textId="77777777" w:rsidR="00E445B8" w:rsidRPr="00E244B6" w:rsidRDefault="00E445B8" w:rsidP="000C2D6C">
            <w:pPr>
              <w:pStyle w:val="LightGrid-Accent31"/>
              <w:spacing w:after="200" w:line="276" w:lineRule="auto"/>
              <w:ind w:left="0"/>
              <w:jc w:val="center"/>
              <w:rPr>
                <w:rFonts w:asciiTheme="minorHAnsi" w:hAnsiTheme="minorHAnsi" w:cs="Arial"/>
                <w:b/>
                <w:bCs/>
                <w:color w:val="FFFFFF"/>
                <w:sz w:val="20"/>
                <w:szCs w:val="20"/>
                <w:lang w:val="en-GB"/>
              </w:rPr>
            </w:pPr>
            <w:r w:rsidRPr="00E244B6">
              <w:rPr>
                <w:rFonts w:asciiTheme="minorHAnsi" w:hAnsiTheme="minorHAnsi" w:cs="Arial"/>
                <w:b/>
                <w:bCs/>
                <w:color w:val="FFFFFF"/>
                <w:sz w:val="20"/>
                <w:szCs w:val="20"/>
                <w:lang w:val="en-GB"/>
              </w:rPr>
              <w:t>Total Annual Sales/ Turnover</w:t>
            </w:r>
          </w:p>
        </w:tc>
      </w:tr>
      <w:tr w:rsidR="00E445B8" w:rsidRPr="00E244B6" w14:paraId="3B2A0B10" w14:textId="77777777" w:rsidTr="007876A8">
        <w:trPr>
          <w:trHeight w:val="389"/>
        </w:trPr>
        <w:tc>
          <w:tcPr>
            <w:tcW w:w="2558" w:type="dxa"/>
            <w:tcBorders>
              <w:top w:val="single" w:sz="8" w:space="0" w:color="4F81BD"/>
              <w:left w:val="single" w:sz="8" w:space="0" w:color="4F81BD"/>
              <w:bottom w:val="single" w:sz="8" w:space="0" w:color="4F81BD"/>
              <w:right w:val="single" w:sz="8" w:space="0" w:color="4F81BD"/>
            </w:tcBorders>
            <w:hideMark/>
          </w:tcPr>
          <w:p w14:paraId="306FB860" w14:textId="77777777" w:rsidR="00E445B8" w:rsidRPr="00E244B6" w:rsidRDefault="00E445B8" w:rsidP="000C2D6C">
            <w:pPr>
              <w:pStyle w:val="LightGrid-Accent31"/>
              <w:spacing w:after="200" w:line="276" w:lineRule="auto"/>
              <w:jc w:val="both"/>
              <w:rPr>
                <w:rFonts w:asciiTheme="minorHAnsi" w:hAnsiTheme="minorHAnsi" w:cs="Arial"/>
                <w:bCs/>
                <w:sz w:val="20"/>
                <w:szCs w:val="20"/>
                <w:lang w:val="en-GB"/>
              </w:rPr>
            </w:pPr>
            <w:r w:rsidRPr="00E244B6">
              <w:rPr>
                <w:rFonts w:asciiTheme="minorHAnsi" w:hAnsiTheme="minorHAnsi" w:cs="Arial"/>
                <w:bCs/>
                <w:sz w:val="20"/>
                <w:szCs w:val="20"/>
                <w:lang w:val="en-GB"/>
              </w:rPr>
              <w:t>Micro</w:t>
            </w:r>
          </w:p>
        </w:tc>
        <w:tc>
          <w:tcPr>
            <w:tcW w:w="2082" w:type="dxa"/>
            <w:tcBorders>
              <w:top w:val="single" w:sz="8" w:space="0" w:color="4F81BD"/>
              <w:left w:val="single" w:sz="8" w:space="0" w:color="4F81BD"/>
              <w:bottom w:val="single" w:sz="8" w:space="0" w:color="4F81BD"/>
              <w:right w:val="single" w:sz="8" w:space="0" w:color="4F81BD"/>
            </w:tcBorders>
            <w:hideMark/>
          </w:tcPr>
          <w:p w14:paraId="4900FB03"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u w:val="single"/>
                <w:lang w:val="en-GB"/>
              </w:rPr>
              <w:t>&lt;</w:t>
            </w:r>
            <w:r w:rsidRPr="00E244B6">
              <w:rPr>
                <w:rFonts w:asciiTheme="minorHAnsi" w:hAnsiTheme="minorHAnsi" w:cs="Arial"/>
                <w:sz w:val="20"/>
                <w:szCs w:val="20"/>
                <w:lang w:val="en-GB"/>
              </w:rPr>
              <w:t xml:space="preserve"> 5</w:t>
            </w:r>
          </w:p>
        </w:tc>
        <w:tc>
          <w:tcPr>
            <w:tcW w:w="3568" w:type="dxa"/>
            <w:tcBorders>
              <w:top w:val="single" w:sz="8" w:space="0" w:color="4F81BD"/>
              <w:left w:val="single" w:sz="8" w:space="0" w:color="4F81BD"/>
              <w:bottom w:val="single" w:sz="8" w:space="0" w:color="4F81BD"/>
              <w:right w:val="single" w:sz="8" w:space="0" w:color="4F81BD"/>
            </w:tcBorders>
            <w:hideMark/>
          </w:tcPr>
          <w:p w14:paraId="45AA8E83"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u w:val="single"/>
                <w:lang w:val="en-GB"/>
              </w:rPr>
              <w:t>&lt;</w:t>
            </w:r>
            <w:r>
              <w:rPr>
                <w:rFonts w:asciiTheme="minorHAnsi" w:hAnsiTheme="minorHAnsi" w:cs="Arial"/>
                <w:sz w:val="20"/>
                <w:szCs w:val="20"/>
                <w:lang w:val="en-GB"/>
              </w:rPr>
              <w:t>US$12</w:t>
            </w:r>
            <w:r w:rsidRPr="00E244B6">
              <w:rPr>
                <w:rFonts w:asciiTheme="minorHAnsi" w:hAnsiTheme="minorHAnsi" w:cs="Arial"/>
                <w:sz w:val="20"/>
                <w:szCs w:val="20"/>
                <w:lang w:val="en-GB"/>
              </w:rPr>
              <w:t>0K</w:t>
            </w:r>
          </w:p>
        </w:tc>
      </w:tr>
      <w:tr w:rsidR="00E445B8" w:rsidRPr="00E244B6" w14:paraId="5C084923" w14:textId="77777777" w:rsidTr="007876A8">
        <w:trPr>
          <w:trHeight w:val="389"/>
        </w:trPr>
        <w:tc>
          <w:tcPr>
            <w:tcW w:w="2558" w:type="dxa"/>
            <w:tcBorders>
              <w:top w:val="single" w:sz="8" w:space="0" w:color="4F81BD"/>
              <w:left w:val="single" w:sz="8" w:space="0" w:color="4F81BD"/>
              <w:bottom w:val="single" w:sz="8" w:space="0" w:color="4F81BD"/>
              <w:right w:val="single" w:sz="8" w:space="0" w:color="4F81BD"/>
            </w:tcBorders>
            <w:hideMark/>
          </w:tcPr>
          <w:p w14:paraId="56F725A0" w14:textId="77777777" w:rsidR="00E445B8" w:rsidRPr="00E244B6" w:rsidRDefault="00E445B8" w:rsidP="000C2D6C">
            <w:pPr>
              <w:pStyle w:val="LightGrid-Accent31"/>
              <w:spacing w:after="200" w:line="276" w:lineRule="auto"/>
              <w:jc w:val="both"/>
              <w:rPr>
                <w:rFonts w:asciiTheme="minorHAnsi" w:hAnsiTheme="minorHAnsi" w:cs="Arial"/>
                <w:bCs/>
                <w:sz w:val="20"/>
                <w:szCs w:val="20"/>
                <w:lang w:val="en-GB"/>
              </w:rPr>
            </w:pPr>
            <w:r w:rsidRPr="00E244B6">
              <w:rPr>
                <w:rFonts w:asciiTheme="minorHAnsi" w:hAnsiTheme="minorHAnsi" w:cs="Arial"/>
                <w:bCs/>
                <w:sz w:val="20"/>
                <w:szCs w:val="20"/>
                <w:lang w:val="en-GB"/>
              </w:rPr>
              <w:t>Small</w:t>
            </w:r>
          </w:p>
        </w:tc>
        <w:tc>
          <w:tcPr>
            <w:tcW w:w="2082" w:type="dxa"/>
            <w:tcBorders>
              <w:top w:val="single" w:sz="8" w:space="0" w:color="4F81BD"/>
              <w:left w:val="single" w:sz="8" w:space="0" w:color="4F81BD"/>
              <w:bottom w:val="single" w:sz="8" w:space="0" w:color="4F81BD"/>
              <w:right w:val="single" w:sz="8" w:space="0" w:color="4F81BD"/>
            </w:tcBorders>
            <w:hideMark/>
          </w:tcPr>
          <w:p w14:paraId="626B4988"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lang w:val="en-GB"/>
              </w:rPr>
              <w:t>6 - 20</w:t>
            </w:r>
          </w:p>
        </w:tc>
        <w:tc>
          <w:tcPr>
            <w:tcW w:w="3568" w:type="dxa"/>
            <w:tcBorders>
              <w:top w:val="single" w:sz="8" w:space="0" w:color="4F81BD"/>
              <w:left w:val="single" w:sz="8" w:space="0" w:color="4F81BD"/>
              <w:bottom w:val="single" w:sz="8" w:space="0" w:color="4F81BD"/>
              <w:right w:val="single" w:sz="8" w:space="0" w:color="4F81BD"/>
            </w:tcBorders>
            <w:hideMark/>
          </w:tcPr>
          <w:p w14:paraId="48F0E183"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Pr>
                <w:rFonts w:asciiTheme="minorHAnsi" w:hAnsiTheme="minorHAnsi" w:cs="Arial"/>
                <w:sz w:val="20"/>
                <w:szCs w:val="20"/>
                <w:lang w:val="en-GB"/>
              </w:rPr>
              <w:t>&gt;US$12</w:t>
            </w:r>
            <w:r w:rsidRPr="00E244B6">
              <w:rPr>
                <w:rFonts w:asciiTheme="minorHAnsi" w:hAnsiTheme="minorHAnsi" w:cs="Arial"/>
                <w:sz w:val="20"/>
                <w:szCs w:val="20"/>
                <w:lang w:val="en-GB"/>
              </w:rPr>
              <w:t xml:space="preserve">0K </w:t>
            </w:r>
            <w:r w:rsidRPr="00E244B6">
              <w:rPr>
                <w:rFonts w:asciiTheme="minorHAnsi" w:hAnsiTheme="minorHAnsi" w:cs="Arial"/>
                <w:sz w:val="20"/>
                <w:szCs w:val="20"/>
                <w:u w:val="single"/>
                <w:lang w:val="en-GB"/>
              </w:rPr>
              <w:t xml:space="preserve">&lt; </w:t>
            </w:r>
            <w:r>
              <w:rPr>
                <w:rFonts w:asciiTheme="minorHAnsi" w:hAnsiTheme="minorHAnsi" w:cs="Arial"/>
                <w:sz w:val="20"/>
                <w:szCs w:val="20"/>
                <w:lang w:val="en-GB"/>
              </w:rPr>
              <w:t>US$6</w:t>
            </w:r>
            <w:r w:rsidRPr="00E244B6">
              <w:rPr>
                <w:rFonts w:asciiTheme="minorHAnsi" w:hAnsiTheme="minorHAnsi" w:cs="Arial"/>
                <w:sz w:val="20"/>
                <w:szCs w:val="20"/>
                <w:lang w:val="en-GB"/>
              </w:rPr>
              <w:t>00K</w:t>
            </w:r>
          </w:p>
        </w:tc>
      </w:tr>
      <w:tr w:rsidR="00E445B8" w:rsidRPr="00E244B6" w14:paraId="6C9A3DDC" w14:textId="77777777" w:rsidTr="007876A8">
        <w:trPr>
          <w:trHeight w:val="389"/>
        </w:trPr>
        <w:tc>
          <w:tcPr>
            <w:tcW w:w="2558" w:type="dxa"/>
            <w:tcBorders>
              <w:top w:val="single" w:sz="8" w:space="0" w:color="4F81BD"/>
              <w:left w:val="single" w:sz="8" w:space="0" w:color="4F81BD"/>
              <w:bottom w:val="single" w:sz="8" w:space="0" w:color="4F81BD"/>
              <w:right w:val="single" w:sz="8" w:space="0" w:color="4F81BD"/>
            </w:tcBorders>
            <w:hideMark/>
          </w:tcPr>
          <w:p w14:paraId="44EAA8CB" w14:textId="77777777" w:rsidR="00E445B8" w:rsidRPr="00E244B6" w:rsidRDefault="00E445B8" w:rsidP="000C2D6C">
            <w:pPr>
              <w:pStyle w:val="LightGrid-Accent31"/>
              <w:spacing w:after="200" w:line="276" w:lineRule="auto"/>
              <w:jc w:val="both"/>
              <w:rPr>
                <w:rFonts w:asciiTheme="minorHAnsi" w:hAnsiTheme="minorHAnsi" w:cs="Arial"/>
                <w:bCs/>
                <w:sz w:val="20"/>
                <w:szCs w:val="20"/>
                <w:lang w:val="en-GB"/>
              </w:rPr>
            </w:pPr>
            <w:r w:rsidRPr="00E244B6">
              <w:rPr>
                <w:rFonts w:asciiTheme="minorHAnsi" w:hAnsiTheme="minorHAnsi" w:cs="Arial"/>
                <w:bCs/>
                <w:sz w:val="20"/>
                <w:szCs w:val="20"/>
                <w:lang w:val="en-GB"/>
              </w:rPr>
              <w:t>Medium-sized</w:t>
            </w:r>
          </w:p>
        </w:tc>
        <w:tc>
          <w:tcPr>
            <w:tcW w:w="2082" w:type="dxa"/>
            <w:tcBorders>
              <w:top w:val="single" w:sz="8" w:space="0" w:color="4F81BD"/>
              <w:left w:val="single" w:sz="8" w:space="0" w:color="4F81BD"/>
              <w:bottom w:val="single" w:sz="8" w:space="0" w:color="4F81BD"/>
              <w:right w:val="single" w:sz="8" w:space="0" w:color="4F81BD"/>
            </w:tcBorders>
            <w:hideMark/>
          </w:tcPr>
          <w:p w14:paraId="795A4EDB"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lang w:val="en-GB"/>
              </w:rPr>
              <w:t>21 - 50</w:t>
            </w:r>
          </w:p>
        </w:tc>
        <w:tc>
          <w:tcPr>
            <w:tcW w:w="3568" w:type="dxa"/>
            <w:tcBorders>
              <w:top w:val="single" w:sz="8" w:space="0" w:color="4F81BD"/>
              <w:left w:val="single" w:sz="8" w:space="0" w:color="4F81BD"/>
              <w:bottom w:val="single" w:sz="8" w:space="0" w:color="4F81BD"/>
              <w:right w:val="single" w:sz="8" w:space="0" w:color="4F81BD"/>
            </w:tcBorders>
            <w:hideMark/>
          </w:tcPr>
          <w:p w14:paraId="189022F8"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Pr>
                <w:rFonts w:asciiTheme="minorHAnsi" w:hAnsiTheme="minorHAnsi" w:cs="Arial"/>
                <w:sz w:val="20"/>
                <w:szCs w:val="20"/>
                <w:lang w:val="en-GB"/>
              </w:rPr>
              <w:t>&gt;US$6</w:t>
            </w:r>
            <w:r w:rsidRPr="00E244B6">
              <w:rPr>
                <w:rFonts w:asciiTheme="minorHAnsi" w:hAnsiTheme="minorHAnsi" w:cs="Arial"/>
                <w:sz w:val="20"/>
                <w:szCs w:val="20"/>
                <w:lang w:val="en-GB"/>
              </w:rPr>
              <w:t xml:space="preserve">00K </w:t>
            </w:r>
            <w:r w:rsidRPr="00E244B6">
              <w:rPr>
                <w:rFonts w:asciiTheme="minorHAnsi" w:hAnsiTheme="minorHAnsi" w:cs="Arial"/>
                <w:sz w:val="20"/>
                <w:szCs w:val="20"/>
                <w:u w:val="single"/>
                <w:lang w:val="en-GB"/>
              </w:rPr>
              <w:t xml:space="preserve">&lt; </w:t>
            </w:r>
            <w:r w:rsidRPr="00E244B6">
              <w:rPr>
                <w:rFonts w:asciiTheme="minorHAnsi" w:hAnsiTheme="minorHAnsi" w:cs="Arial"/>
                <w:sz w:val="20"/>
                <w:szCs w:val="20"/>
                <w:lang w:val="en-GB"/>
              </w:rPr>
              <w:t>US$</w:t>
            </w:r>
            <w:r>
              <w:rPr>
                <w:rFonts w:asciiTheme="minorHAnsi" w:hAnsiTheme="minorHAnsi" w:cs="Arial"/>
                <w:sz w:val="20"/>
                <w:szCs w:val="20"/>
                <w:lang w:val="en-GB"/>
              </w:rPr>
              <w:t>3.4</w:t>
            </w:r>
            <w:r w:rsidRPr="00E244B6">
              <w:rPr>
                <w:rFonts w:asciiTheme="minorHAnsi" w:hAnsiTheme="minorHAnsi" w:cs="Arial"/>
                <w:sz w:val="20"/>
                <w:szCs w:val="20"/>
                <w:lang w:val="en-GB"/>
              </w:rPr>
              <w:t xml:space="preserve"> million</w:t>
            </w:r>
          </w:p>
        </w:tc>
      </w:tr>
    </w:tbl>
    <w:p w14:paraId="744422D8" w14:textId="75F6A16C" w:rsidR="00E445B8" w:rsidRPr="00E244B6" w:rsidRDefault="00E445B8" w:rsidP="000C2D6C">
      <w:pPr>
        <w:pStyle w:val="LightGrid-Accent31"/>
        <w:spacing w:after="200" w:line="276" w:lineRule="auto"/>
        <w:ind w:left="0"/>
        <w:jc w:val="both"/>
        <w:rPr>
          <w:rFonts w:asciiTheme="minorHAnsi" w:hAnsiTheme="minorHAnsi" w:cs="Arial"/>
          <w:sz w:val="16"/>
          <w:szCs w:val="20"/>
          <w:lang w:val="en-GB"/>
        </w:rPr>
      </w:pPr>
      <w:r w:rsidRPr="00E244B6">
        <w:rPr>
          <w:rFonts w:asciiTheme="minorHAnsi" w:hAnsiTheme="minorHAnsi" w:cs="Arial"/>
          <w:sz w:val="16"/>
          <w:szCs w:val="20"/>
          <w:lang w:val="en-GB"/>
        </w:rPr>
        <w:t>Source: Ministry of Industry</w:t>
      </w:r>
      <w:r w:rsidR="00807502">
        <w:rPr>
          <w:rFonts w:asciiTheme="minorHAnsi" w:hAnsiTheme="minorHAnsi" w:cs="Arial"/>
          <w:sz w:val="16"/>
          <w:szCs w:val="20"/>
          <w:lang w:val="en-GB"/>
        </w:rPr>
        <w:t>,</w:t>
      </w:r>
      <w:r w:rsidRPr="00E244B6">
        <w:rPr>
          <w:rFonts w:asciiTheme="minorHAnsi" w:hAnsiTheme="minorHAnsi" w:cs="Arial"/>
          <w:sz w:val="16"/>
          <w:szCs w:val="20"/>
          <w:lang w:val="en-GB"/>
        </w:rPr>
        <w:t xml:space="preserve"> </w:t>
      </w:r>
      <w:r w:rsidR="00807502">
        <w:rPr>
          <w:rFonts w:asciiTheme="minorHAnsi" w:hAnsiTheme="minorHAnsi" w:cs="Arial"/>
          <w:sz w:val="16"/>
          <w:szCs w:val="20"/>
          <w:lang w:val="en-GB"/>
        </w:rPr>
        <w:t>Commerce, Agriculture &amp; Fisheries</w:t>
      </w:r>
      <w:r w:rsidRPr="00E244B6">
        <w:rPr>
          <w:rFonts w:asciiTheme="minorHAnsi" w:hAnsiTheme="minorHAnsi" w:cs="Arial"/>
          <w:sz w:val="16"/>
          <w:szCs w:val="20"/>
          <w:lang w:val="en-GB"/>
        </w:rPr>
        <w:t xml:space="preserve"> (MIC</w:t>
      </w:r>
      <w:r w:rsidR="00807502">
        <w:rPr>
          <w:rFonts w:asciiTheme="minorHAnsi" w:hAnsiTheme="minorHAnsi" w:cs="Arial"/>
          <w:sz w:val="16"/>
          <w:szCs w:val="20"/>
          <w:lang w:val="en-GB"/>
        </w:rPr>
        <w:t>AF</w:t>
      </w:r>
      <w:r w:rsidRPr="00E244B6">
        <w:rPr>
          <w:rFonts w:asciiTheme="minorHAnsi" w:hAnsiTheme="minorHAnsi" w:cs="Arial"/>
          <w:sz w:val="16"/>
          <w:szCs w:val="20"/>
          <w:lang w:val="en-GB"/>
        </w:rPr>
        <w:t>)</w:t>
      </w:r>
      <w:r>
        <w:rPr>
          <w:rStyle w:val="FootnoteReference"/>
          <w:rFonts w:asciiTheme="minorHAnsi" w:hAnsiTheme="minorHAnsi" w:cs="Arial"/>
          <w:sz w:val="16"/>
          <w:szCs w:val="20"/>
          <w:lang w:val="en-GB"/>
        </w:rPr>
        <w:footnoteReference w:id="4"/>
      </w:r>
    </w:p>
    <w:p w14:paraId="74F9B778"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2B00724D" w14:textId="21C45271" w:rsidR="00E445B8" w:rsidRPr="00E244B6" w:rsidRDefault="00E445B8" w:rsidP="000C2D6C">
      <w:pPr>
        <w:pStyle w:val="ColorfulList-Accent11"/>
        <w:spacing w:line="276" w:lineRule="auto"/>
        <w:ind w:left="0"/>
        <w:rPr>
          <w:rFonts w:asciiTheme="minorHAnsi" w:eastAsia="Times New Roman" w:hAnsiTheme="minorHAnsi"/>
          <w:sz w:val="22"/>
          <w:szCs w:val="22"/>
        </w:rPr>
      </w:pPr>
      <w:r w:rsidRPr="00E244B6">
        <w:rPr>
          <w:rFonts w:asciiTheme="minorHAnsi" w:hAnsiTheme="minorHAnsi" w:cs="Arial"/>
          <w:b/>
          <w:sz w:val="20"/>
          <w:szCs w:val="20"/>
        </w:rPr>
        <w:t>Private Equity Fund:</w:t>
      </w:r>
      <w:r w:rsidRPr="00E244B6">
        <w:rPr>
          <w:rFonts w:asciiTheme="minorHAnsi" w:hAnsiTheme="minorHAnsi" w:cs="Arial"/>
          <w:sz w:val="20"/>
          <w:szCs w:val="20"/>
        </w:rPr>
        <w:t xml:space="preserve">  Vehicle for investment in private companies, through buyouts, buy-ins, expansion</w:t>
      </w:r>
      <w:r w:rsidR="00C413B2">
        <w:rPr>
          <w:rFonts w:asciiTheme="minorHAnsi" w:hAnsiTheme="minorHAnsi" w:cs="Arial"/>
          <w:sz w:val="20"/>
          <w:szCs w:val="20"/>
        </w:rPr>
        <w:t>,</w:t>
      </w:r>
      <w:r w:rsidRPr="00E244B6">
        <w:rPr>
          <w:rFonts w:asciiTheme="minorHAnsi" w:hAnsiTheme="minorHAnsi" w:cs="Arial"/>
          <w:sz w:val="20"/>
          <w:szCs w:val="20"/>
        </w:rPr>
        <w:t xml:space="preserve"> or replacement capital</w:t>
      </w:r>
      <w:r w:rsidR="00C413B2" w:rsidRPr="00E244B6">
        <w:rPr>
          <w:rFonts w:asciiTheme="minorHAnsi" w:hAnsiTheme="minorHAnsi" w:cs="Arial"/>
          <w:sz w:val="20"/>
          <w:szCs w:val="20"/>
        </w:rPr>
        <w:t xml:space="preserve">. </w:t>
      </w:r>
      <w:r w:rsidRPr="00E244B6">
        <w:rPr>
          <w:rFonts w:asciiTheme="minorHAnsi" w:hAnsiTheme="minorHAnsi" w:cs="Arial"/>
          <w:sz w:val="20"/>
          <w:szCs w:val="20"/>
        </w:rPr>
        <w:t xml:space="preserve">The fund usually functions in a closed </w:t>
      </w:r>
      <w:r w:rsidR="001A5666" w:rsidRPr="00E244B6">
        <w:rPr>
          <w:rFonts w:asciiTheme="minorHAnsi" w:hAnsiTheme="minorHAnsi" w:cs="Arial"/>
          <w:sz w:val="20"/>
          <w:szCs w:val="20"/>
        </w:rPr>
        <w:t>regime</w:t>
      </w:r>
      <w:r w:rsidR="00796066">
        <w:rPr>
          <w:rFonts w:asciiTheme="minorHAnsi" w:hAnsiTheme="minorHAnsi" w:cs="Arial"/>
          <w:sz w:val="20"/>
          <w:szCs w:val="20"/>
        </w:rPr>
        <w:t xml:space="preserve"> </w:t>
      </w:r>
      <w:r w:rsidR="001A5666" w:rsidRPr="00E244B6">
        <w:rPr>
          <w:rFonts w:asciiTheme="minorHAnsi" w:hAnsiTheme="minorHAnsi" w:cs="Arial"/>
          <w:sz w:val="20"/>
          <w:szCs w:val="20"/>
        </w:rPr>
        <w:t>and</w:t>
      </w:r>
      <w:r w:rsidRPr="00E244B6">
        <w:rPr>
          <w:rFonts w:asciiTheme="minorHAnsi" w:hAnsiTheme="minorHAnsi" w:cs="Arial"/>
          <w:sz w:val="20"/>
          <w:szCs w:val="20"/>
        </w:rPr>
        <w:t xml:space="preserve"> applies high corporate governance standards as well as participates in the decision</w:t>
      </w:r>
      <w:r w:rsidR="005A61C8">
        <w:rPr>
          <w:rFonts w:asciiTheme="minorHAnsi" w:hAnsiTheme="minorHAnsi" w:cs="Arial"/>
          <w:sz w:val="20"/>
          <w:szCs w:val="20"/>
        </w:rPr>
        <w:t>-</w:t>
      </w:r>
      <w:r w:rsidRPr="00E244B6">
        <w:rPr>
          <w:rFonts w:asciiTheme="minorHAnsi" w:hAnsiTheme="minorHAnsi" w:cs="Arial"/>
          <w:sz w:val="20"/>
          <w:szCs w:val="20"/>
        </w:rPr>
        <w:t>making processes of the companies in which it invests.</w:t>
      </w:r>
    </w:p>
    <w:p w14:paraId="4B2DC99E" w14:textId="77777777" w:rsidR="00E445B8" w:rsidRPr="00E244B6" w:rsidRDefault="00E445B8" w:rsidP="000C2D6C">
      <w:pPr>
        <w:pStyle w:val="LightGrid-Accent31"/>
        <w:spacing w:line="276" w:lineRule="auto"/>
        <w:ind w:left="0"/>
        <w:jc w:val="both"/>
        <w:rPr>
          <w:rFonts w:asciiTheme="minorHAnsi" w:hAnsiTheme="minorHAnsi" w:cs="Arial"/>
          <w:sz w:val="20"/>
          <w:szCs w:val="20"/>
        </w:rPr>
      </w:pPr>
    </w:p>
    <w:p w14:paraId="369C7D7A" w14:textId="1BD775DA" w:rsidR="00E445B8"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Proposal:</w:t>
      </w:r>
      <w:r w:rsidRPr="00E244B6">
        <w:rPr>
          <w:rFonts w:asciiTheme="minorHAnsi" w:hAnsiTheme="minorHAnsi" w:cs="Arial"/>
          <w:sz w:val="20"/>
          <w:szCs w:val="20"/>
        </w:rPr>
        <w:t xml:space="preserve"> Document submitted in response to a CFP.</w:t>
      </w:r>
    </w:p>
    <w:p w14:paraId="33D0FDF1" w14:textId="73AAE6E8" w:rsidR="004A4742" w:rsidRDefault="004A4742" w:rsidP="000C2D6C">
      <w:pPr>
        <w:pStyle w:val="LightGrid-Accent31"/>
        <w:spacing w:line="276" w:lineRule="auto"/>
        <w:ind w:left="0"/>
        <w:jc w:val="both"/>
        <w:rPr>
          <w:rFonts w:asciiTheme="minorHAnsi" w:hAnsiTheme="minorHAnsi" w:cs="Arial"/>
          <w:sz w:val="20"/>
          <w:szCs w:val="20"/>
        </w:rPr>
      </w:pPr>
    </w:p>
    <w:p w14:paraId="7E6942BF" w14:textId="39E6EBBA" w:rsidR="004A4742" w:rsidRPr="00F065E7" w:rsidRDefault="004A4742" w:rsidP="000C2D6C">
      <w:pPr>
        <w:pStyle w:val="LightGrid-Accent31"/>
        <w:spacing w:line="276" w:lineRule="auto"/>
        <w:ind w:left="0"/>
        <w:jc w:val="both"/>
        <w:rPr>
          <w:rFonts w:asciiTheme="minorHAnsi" w:hAnsiTheme="minorHAnsi" w:cs="Arial"/>
          <w:sz w:val="20"/>
          <w:szCs w:val="20"/>
        </w:rPr>
      </w:pPr>
      <w:r w:rsidRPr="00581168">
        <w:rPr>
          <w:rFonts w:asciiTheme="minorHAnsi" w:hAnsiTheme="minorHAnsi"/>
          <w:b/>
          <w:sz w:val="20"/>
        </w:rPr>
        <w:t>Sanctionable Practices</w:t>
      </w:r>
      <w:r>
        <w:rPr>
          <w:rFonts w:asciiTheme="minorHAnsi" w:hAnsiTheme="minorHAnsi" w:cs="Arial"/>
          <w:b/>
          <w:bCs/>
          <w:sz w:val="20"/>
          <w:szCs w:val="20"/>
        </w:rPr>
        <w:t>:</w:t>
      </w:r>
      <w:r w:rsidR="00F065E7">
        <w:rPr>
          <w:rFonts w:asciiTheme="minorHAnsi" w:hAnsiTheme="minorHAnsi" w:cs="Arial"/>
          <w:b/>
          <w:bCs/>
          <w:sz w:val="20"/>
          <w:szCs w:val="20"/>
        </w:rPr>
        <w:t xml:space="preserve"> </w:t>
      </w:r>
      <w:r w:rsidR="00F065E7" w:rsidRPr="00F065E7">
        <w:rPr>
          <w:rFonts w:asciiTheme="minorHAnsi" w:hAnsiTheme="minorHAnsi" w:cs="Arial"/>
          <w:b/>
          <w:bCs/>
          <w:sz w:val="20"/>
          <w:szCs w:val="20"/>
        </w:rPr>
        <w:t xml:space="preserve"> </w:t>
      </w:r>
      <w:r w:rsidR="00F065E7" w:rsidRPr="00581168">
        <w:rPr>
          <w:rFonts w:asciiTheme="minorHAnsi" w:hAnsiTheme="minorHAnsi"/>
          <w:sz w:val="20"/>
        </w:rPr>
        <w:t>a corrupt, fraudulent, coercive, collusive</w:t>
      </w:r>
      <w:r w:rsidR="005A61C8">
        <w:rPr>
          <w:rFonts w:asciiTheme="minorHAnsi" w:hAnsiTheme="minorHAnsi"/>
          <w:sz w:val="20"/>
        </w:rPr>
        <w:t>,</w:t>
      </w:r>
      <w:r w:rsidR="00F065E7" w:rsidRPr="00581168">
        <w:rPr>
          <w:rFonts w:asciiTheme="minorHAnsi" w:hAnsiTheme="minorHAnsi"/>
          <w:sz w:val="20"/>
        </w:rPr>
        <w:t xml:space="preserve"> or </w:t>
      </w:r>
      <w:r w:rsidR="00F065E7" w:rsidRPr="00384BFE">
        <w:rPr>
          <w:rFonts w:asciiTheme="minorHAnsi" w:hAnsiTheme="minorHAnsi"/>
          <w:sz w:val="20"/>
        </w:rPr>
        <w:t xml:space="preserve">obstructive practice, as such terms are defined </w:t>
      </w:r>
      <w:r w:rsidR="00F065E7" w:rsidRPr="009B36AF">
        <w:rPr>
          <w:rFonts w:asciiTheme="minorHAnsi" w:hAnsiTheme="minorHAnsi"/>
          <w:sz w:val="20"/>
        </w:rPr>
        <w:t>in the Anti-Corruption Guidelines, Procurement Guidelines or Consultant Guidelines</w:t>
      </w:r>
      <w:r w:rsidR="007410F4" w:rsidRPr="009B36AF">
        <w:rPr>
          <w:rFonts w:asciiTheme="minorHAnsi" w:hAnsiTheme="minorHAnsi" w:cs="Arial"/>
          <w:sz w:val="20"/>
          <w:szCs w:val="20"/>
        </w:rPr>
        <w:t xml:space="preserve"> of the </w:t>
      </w:r>
      <w:r w:rsidR="00F470F6" w:rsidRPr="009B36AF">
        <w:rPr>
          <w:rFonts w:asciiTheme="minorHAnsi" w:hAnsiTheme="minorHAnsi" w:cs="Arial"/>
          <w:sz w:val="20"/>
          <w:szCs w:val="20"/>
        </w:rPr>
        <w:t>DBJ</w:t>
      </w:r>
      <w:r w:rsidR="00F920B8" w:rsidRPr="009B36AF">
        <w:rPr>
          <w:rFonts w:asciiTheme="minorHAnsi" w:hAnsiTheme="minorHAnsi" w:cs="Arial"/>
          <w:sz w:val="20"/>
          <w:szCs w:val="20"/>
        </w:rPr>
        <w:t>.</w:t>
      </w:r>
    </w:p>
    <w:p w14:paraId="44CEB7B4" w14:textId="0BFC0A19" w:rsidR="000C420B" w:rsidRPr="00DE6DDC" w:rsidRDefault="000C420B" w:rsidP="000C2D6C">
      <w:pPr>
        <w:pStyle w:val="LightGrid-Accent31"/>
        <w:spacing w:line="276" w:lineRule="auto"/>
        <w:ind w:left="0"/>
        <w:jc w:val="both"/>
        <w:rPr>
          <w:rFonts w:asciiTheme="minorHAnsi" w:hAnsiTheme="minorHAnsi" w:cs="Arial"/>
          <w:sz w:val="20"/>
          <w:szCs w:val="20"/>
        </w:rPr>
      </w:pPr>
    </w:p>
    <w:p w14:paraId="0EA9BAB6" w14:textId="21EBF852" w:rsidR="000C420B" w:rsidRPr="00384BFE" w:rsidRDefault="000C420B" w:rsidP="000C2D6C">
      <w:pPr>
        <w:pStyle w:val="LightGrid-Accent31"/>
        <w:spacing w:line="276" w:lineRule="auto"/>
        <w:ind w:left="0"/>
        <w:jc w:val="both"/>
        <w:rPr>
          <w:rFonts w:asciiTheme="minorHAnsi" w:hAnsiTheme="minorHAnsi"/>
          <w:sz w:val="20"/>
        </w:rPr>
      </w:pPr>
      <w:r w:rsidRPr="0026147B">
        <w:rPr>
          <w:rFonts w:asciiTheme="minorHAnsi" w:hAnsiTheme="minorHAnsi" w:cs="Arial"/>
          <w:b/>
          <w:bCs/>
          <w:sz w:val="20"/>
          <w:szCs w:val="20"/>
        </w:rPr>
        <w:lastRenderedPageBreak/>
        <w:t>Self-Liquidating Structure</w:t>
      </w:r>
      <w:r w:rsidR="00EF4807" w:rsidRPr="0026147B">
        <w:rPr>
          <w:rFonts w:asciiTheme="minorHAnsi" w:hAnsiTheme="minorHAnsi" w:cs="Arial"/>
          <w:b/>
          <w:bCs/>
          <w:sz w:val="20"/>
          <w:szCs w:val="20"/>
        </w:rPr>
        <w:t>:</w:t>
      </w:r>
      <w:r w:rsidR="00F065E7">
        <w:rPr>
          <w:rFonts w:asciiTheme="minorHAnsi" w:hAnsiTheme="minorHAnsi" w:cs="Arial"/>
          <w:b/>
          <w:bCs/>
          <w:sz w:val="20"/>
          <w:szCs w:val="20"/>
        </w:rPr>
        <w:t xml:space="preserve"> </w:t>
      </w:r>
      <w:r w:rsidR="00F065E7" w:rsidRPr="00F065E7">
        <w:rPr>
          <w:rFonts w:asciiTheme="minorHAnsi" w:hAnsiTheme="minorHAnsi" w:cs="Arial"/>
          <w:b/>
          <w:bCs/>
          <w:sz w:val="20"/>
          <w:szCs w:val="20"/>
        </w:rPr>
        <w:t> </w:t>
      </w:r>
      <w:r w:rsidR="00F065E7" w:rsidRPr="00581168">
        <w:rPr>
          <w:rFonts w:asciiTheme="minorHAnsi" w:hAnsiTheme="minorHAnsi"/>
          <w:sz w:val="20"/>
        </w:rPr>
        <w:t>a form of short- or intermediate-term credit instrument that is repaid with money generated by</w:t>
      </w:r>
      <w:r w:rsidR="00F065E7" w:rsidRPr="00384BFE">
        <w:rPr>
          <w:rFonts w:asciiTheme="minorHAnsi" w:hAnsiTheme="minorHAnsi"/>
          <w:sz w:val="20"/>
        </w:rPr>
        <w:t xml:space="preserve"> the assets it is used to purchase. </w:t>
      </w:r>
    </w:p>
    <w:p w14:paraId="2C868B50"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409B354F"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lang w:val="en-GB"/>
        </w:rPr>
        <w:t>Start-up</w:t>
      </w:r>
      <w:r w:rsidRPr="00E244B6">
        <w:rPr>
          <w:rFonts w:asciiTheme="minorHAnsi" w:hAnsiTheme="minorHAnsi" w:cs="Arial"/>
          <w:sz w:val="20"/>
          <w:szCs w:val="20"/>
          <w:lang w:val="en-GB"/>
        </w:rPr>
        <w:t>: A</w:t>
      </w:r>
      <w:r w:rsidRPr="00E244B6">
        <w:rPr>
          <w:rFonts w:asciiTheme="minorHAnsi" w:hAnsiTheme="minorHAnsi" w:cs="Arial"/>
          <w:sz w:val="20"/>
          <w:szCs w:val="20"/>
        </w:rPr>
        <w:t xml:space="preserve"> new business venture that is established from “scratch”; that is, any business venture that did not exist prior to the</w:t>
      </w:r>
      <w:r w:rsidRPr="00E244B6">
        <w:rPr>
          <w:rFonts w:asciiTheme="minorHAnsi" w:hAnsiTheme="minorHAnsi" w:cs="Arial"/>
          <w:sz w:val="20"/>
          <w:szCs w:val="20"/>
          <w:lang w:val="en-GB"/>
        </w:rPr>
        <w:t xml:space="preserve"> </w:t>
      </w:r>
      <w:r w:rsidRPr="00E244B6">
        <w:rPr>
          <w:rFonts w:asciiTheme="minorHAnsi" w:hAnsiTheme="minorHAnsi" w:cs="Arial"/>
          <w:sz w:val="20"/>
          <w:szCs w:val="20"/>
        </w:rPr>
        <w:t xml:space="preserve">entrepreneur’s efforts. </w:t>
      </w:r>
    </w:p>
    <w:p w14:paraId="09B2274A" w14:textId="4256F95C" w:rsidR="00DE62DF" w:rsidRPr="00C94A2A" w:rsidRDefault="00E445B8" w:rsidP="00C94A2A">
      <w:pPr>
        <w:pStyle w:val="LightGrid-Accent31"/>
        <w:spacing w:after="200" w:line="276" w:lineRule="auto"/>
        <w:ind w:left="0"/>
        <w:jc w:val="both"/>
        <w:rPr>
          <w:rFonts w:asciiTheme="minorHAnsi" w:hAnsiTheme="minorHAnsi" w:cs="Arial"/>
          <w:sz w:val="20"/>
          <w:szCs w:val="20"/>
          <w:lang w:val="en-GB"/>
        </w:rPr>
      </w:pPr>
      <w:r w:rsidRPr="00E244B6">
        <w:rPr>
          <w:rFonts w:asciiTheme="minorHAnsi" w:hAnsiTheme="minorHAnsi" w:cs="Arial"/>
          <w:sz w:val="20"/>
          <w:szCs w:val="20"/>
        </w:rPr>
        <w:t xml:space="preserve"> </w:t>
      </w:r>
    </w:p>
    <w:p w14:paraId="2DC8CC3F" w14:textId="143A9FD2" w:rsidR="00B8390B" w:rsidRDefault="00B8390B" w:rsidP="000C2D6C">
      <w:pPr>
        <w:pStyle w:val="LightGrid-Accent31"/>
        <w:spacing w:after="200" w:line="276" w:lineRule="auto"/>
        <w:ind w:left="0"/>
        <w:jc w:val="both"/>
        <w:rPr>
          <w:rFonts w:asciiTheme="minorHAnsi" w:hAnsiTheme="minorHAnsi" w:cs="Arial"/>
          <w:b/>
          <w:sz w:val="20"/>
          <w:szCs w:val="20"/>
        </w:rPr>
      </w:pPr>
      <w:r>
        <w:rPr>
          <w:rFonts w:asciiTheme="minorHAnsi" w:hAnsiTheme="minorHAnsi" w:cs="Arial"/>
          <w:b/>
          <w:sz w:val="20"/>
          <w:szCs w:val="20"/>
        </w:rPr>
        <w:t>USEFUL LINKS</w:t>
      </w:r>
    </w:p>
    <w:p w14:paraId="4ECD1A01" w14:textId="77777777" w:rsidR="00D30499" w:rsidRPr="00DE62DF" w:rsidRDefault="00AE4AA0" w:rsidP="000C2D6C">
      <w:pPr>
        <w:pStyle w:val="LightGrid-Accent31"/>
        <w:spacing w:after="200" w:line="276" w:lineRule="auto"/>
        <w:ind w:left="0"/>
        <w:rPr>
          <w:rFonts w:asciiTheme="minorHAnsi" w:hAnsiTheme="minorHAnsi" w:cs="Arial"/>
          <w:bCs/>
          <w:sz w:val="20"/>
          <w:szCs w:val="20"/>
        </w:rPr>
      </w:pPr>
      <w:r w:rsidRPr="00DE62DF">
        <w:rPr>
          <w:rFonts w:asciiTheme="minorHAnsi" w:hAnsiTheme="minorHAnsi" w:cs="Arial"/>
          <w:bCs/>
          <w:sz w:val="20"/>
          <w:szCs w:val="20"/>
        </w:rPr>
        <w:t>Understanding Environmental and Social Risk</w:t>
      </w:r>
      <w:r w:rsidR="005532A1" w:rsidRPr="00DE62DF">
        <w:rPr>
          <w:rFonts w:asciiTheme="minorHAnsi" w:hAnsiTheme="minorHAnsi" w:cs="Arial"/>
          <w:bCs/>
          <w:sz w:val="20"/>
          <w:szCs w:val="20"/>
        </w:rPr>
        <w:t xml:space="preserve"> by</w:t>
      </w:r>
      <w:r w:rsidRPr="00DE62DF">
        <w:rPr>
          <w:rFonts w:asciiTheme="minorHAnsi" w:hAnsiTheme="minorHAnsi" w:cs="Arial"/>
          <w:bCs/>
          <w:sz w:val="20"/>
          <w:szCs w:val="20"/>
        </w:rPr>
        <w:t xml:space="preserve"> </w:t>
      </w:r>
      <w:r w:rsidR="005532A1" w:rsidRPr="00DE62DF">
        <w:rPr>
          <w:rFonts w:asciiTheme="minorHAnsi" w:hAnsiTheme="minorHAnsi" w:cs="Arial"/>
          <w:bCs/>
          <w:sz w:val="20"/>
          <w:szCs w:val="20"/>
        </w:rPr>
        <w:t>t</w:t>
      </w:r>
      <w:r w:rsidRPr="00DE62DF">
        <w:rPr>
          <w:rFonts w:asciiTheme="minorHAnsi" w:hAnsiTheme="minorHAnsi" w:cs="Arial"/>
          <w:bCs/>
          <w:sz w:val="20"/>
          <w:szCs w:val="20"/>
        </w:rPr>
        <w:t>he International Finance Corporation as part of the World Bank’s Group E&amp;S Risk Management</w:t>
      </w:r>
      <w:r w:rsidR="005532A1" w:rsidRPr="00DE62DF">
        <w:rPr>
          <w:rFonts w:asciiTheme="minorHAnsi" w:hAnsiTheme="minorHAnsi" w:cs="Arial"/>
          <w:bCs/>
          <w:sz w:val="20"/>
          <w:szCs w:val="20"/>
        </w:rPr>
        <w:t xml:space="preserve"> </w:t>
      </w:r>
      <w:r w:rsidRPr="00DE62DF">
        <w:rPr>
          <w:rFonts w:asciiTheme="minorHAnsi" w:hAnsiTheme="minorHAnsi" w:cs="Arial"/>
          <w:bCs/>
          <w:sz w:val="20"/>
          <w:szCs w:val="20"/>
        </w:rPr>
        <w:t xml:space="preserve">Retrieved from </w:t>
      </w:r>
    </w:p>
    <w:p w14:paraId="25CCA764" w14:textId="555C3E41" w:rsidR="00B8390B" w:rsidRPr="00DE62DF" w:rsidRDefault="00AE4AA0" w:rsidP="000C2D6C">
      <w:pPr>
        <w:pStyle w:val="LightGrid-Accent31"/>
        <w:spacing w:after="200" w:line="276" w:lineRule="auto"/>
        <w:ind w:left="0"/>
        <w:rPr>
          <w:rFonts w:asciiTheme="minorHAnsi" w:hAnsiTheme="minorHAnsi" w:cs="Arial"/>
          <w:bCs/>
          <w:sz w:val="20"/>
          <w:szCs w:val="20"/>
        </w:rPr>
      </w:pPr>
      <w:r w:rsidRPr="00DE62DF">
        <w:rPr>
          <w:rFonts w:asciiTheme="minorHAnsi" w:hAnsiTheme="minorHAnsi" w:cs="Arial"/>
          <w:bCs/>
          <w:color w:val="0070C0"/>
          <w:sz w:val="20"/>
          <w:szCs w:val="20"/>
        </w:rPr>
        <w:t>https://firstforsustainability.org/risk-management/understanding-environmental-and-social-risk/</w:t>
      </w:r>
    </w:p>
    <w:p w14:paraId="083E65FE" w14:textId="69B9E9C0" w:rsidR="004F31DE" w:rsidRPr="00DE62DF" w:rsidRDefault="00AE4AA0" w:rsidP="000C2D6C">
      <w:pPr>
        <w:pStyle w:val="LightGrid-Accent31"/>
        <w:spacing w:after="200" w:line="276" w:lineRule="auto"/>
        <w:ind w:left="0"/>
        <w:rPr>
          <w:rFonts w:asciiTheme="minorHAnsi" w:hAnsiTheme="minorHAnsi" w:cs="Arial"/>
          <w:bCs/>
          <w:color w:val="0070C0"/>
          <w:sz w:val="20"/>
          <w:szCs w:val="20"/>
        </w:rPr>
      </w:pPr>
      <w:r w:rsidRPr="00DE62DF">
        <w:rPr>
          <w:rFonts w:asciiTheme="minorHAnsi" w:hAnsiTheme="minorHAnsi" w:cs="Arial"/>
          <w:bCs/>
          <w:sz w:val="20"/>
          <w:szCs w:val="20"/>
        </w:rPr>
        <w:t>Model Subscription Agreement</w:t>
      </w:r>
      <w:r w:rsidR="005532A1" w:rsidRPr="00DE62DF">
        <w:rPr>
          <w:rFonts w:asciiTheme="minorHAnsi" w:hAnsiTheme="minorHAnsi" w:cs="Arial"/>
          <w:bCs/>
          <w:sz w:val="20"/>
          <w:szCs w:val="20"/>
        </w:rPr>
        <w:t xml:space="preserve"> by </w:t>
      </w:r>
      <w:r w:rsidRPr="00DE62DF">
        <w:rPr>
          <w:rFonts w:asciiTheme="minorHAnsi" w:hAnsiTheme="minorHAnsi" w:cs="Arial"/>
          <w:bCs/>
          <w:sz w:val="20"/>
          <w:szCs w:val="20"/>
        </w:rPr>
        <w:t>Institution</w:t>
      </w:r>
      <w:r w:rsidR="005532A1" w:rsidRPr="00DE62DF">
        <w:rPr>
          <w:rFonts w:asciiTheme="minorHAnsi" w:hAnsiTheme="minorHAnsi" w:cs="Arial"/>
          <w:bCs/>
          <w:sz w:val="20"/>
          <w:szCs w:val="20"/>
        </w:rPr>
        <w:t>al</w:t>
      </w:r>
      <w:r w:rsidRPr="00DE62DF">
        <w:rPr>
          <w:rFonts w:asciiTheme="minorHAnsi" w:hAnsiTheme="minorHAnsi" w:cs="Arial"/>
          <w:bCs/>
          <w:sz w:val="20"/>
          <w:szCs w:val="20"/>
        </w:rPr>
        <w:t xml:space="preserve"> Limited Partners Association Retrieved from </w:t>
      </w:r>
      <w:hyperlink r:id="rId16" w:history="1">
        <w:r w:rsidR="00E13F85" w:rsidRPr="00DE62DF">
          <w:rPr>
            <w:rStyle w:val="Hyperlink"/>
            <w:rFonts w:asciiTheme="minorHAnsi" w:hAnsiTheme="minorHAnsi" w:cs="Arial"/>
            <w:bCs/>
            <w:sz w:val="20"/>
            <w:szCs w:val="20"/>
          </w:rPr>
          <w:t>https://ilpa.org/model-sub-agreement/</w:t>
        </w:r>
      </w:hyperlink>
    </w:p>
    <w:p w14:paraId="2C9FE6B4" w14:textId="6133B670" w:rsidR="00BA5F1C" w:rsidRDefault="00BA5F1C" w:rsidP="000C2D6C">
      <w:pPr>
        <w:pStyle w:val="LightGrid-Accent31"/>
        <w:spacing w:after="200" w:line="276" w:lineRule="auto"/>
        <w:ind w:left="0"/>
        <w:rPr>
          <w:rFonts w:asciiTheme="minorHAnsi" w:hAnsiTheme="minorHAnsi" w:cs="Arial"/>
          <w:b/>
          <w:color w:val="0070C0"/>
          <w:sz w:val="20"/>
          <w:szCs w:val="20"/>
        </w:rPr>
      </w:pPr>
    </w:p>
    <w:p w14:paraId="278F1E28" w14:textId="0BB0320E" w:rsidR="00ED01FB" w:rsidRDefault="00ED01FB">
      <w:pPr>
        <w:spacing w:after="160" w:line="259" w:lineRule="auto"/>
        <w:rPr>
          <w:rFonts w:eastAsia="MS Mincho" w:cs="Arial"/>
          <w:b/>
          <w:color w:val="0070C0"/>
          <w:sz w:val="20"/>
          <w:szCs w:val="20"/>
        </w:rPr>
      </w:pPr>
      <w:bookmarkStart w:id="62" w:name="_Hlk82447021"/>
      <w:r>
        <w:rPr>
          <w:rFonts w:cs="Arial"/>
          <w:b/>
          <w:color w:val="0070C0"/>
          <w:sz w:val="20"/>
          <w:szCs w:val="20"/>
        </w:rPr>
        <w:br w:type="page"/>
      </w:r>
    </w:p>
    <w:p w14:paraId="38849D8D" w14:textId="77777777" w:rsidR="00C2449E" w:rsidRPr="001C573F" w:rsidRDefault="00C2449E" w:rsidP="00C2449E">
      <w:pPr>
        <w:keepNext/>
        <w:keepLines/>
        <w:spacing w:before="200" w:after="0"/>
        <w:outlineLvl w:val="1"/>
        <w:rPr>
          <w:rFonts w:ascii="Cambria" w:eastAsia="MS Gothic" w:hAnsi="Cambria" w:cs="Times New Roman"/>
          <w:b/>
          <w:bCs/>
          <w:color w:val="4F81BD"/>
          <w:sz w:val="24"/>
          <w:szCs w:val="24"/>
          <w:lang w:val="en-GB"/>
        </w:rPr>
      </w:pPr>
      <w:r>
        <w:rPr>
          <w:rFonts w:ascii="Cambria" w:eastAsia="MS Gothic" w:hAnsi="Cambria" w:cs="Times New Roman"/>
          <w:b/>
          <w:bCs/>
          <w:color w:val="4F81BD"/>
          <w:sz w:val="24"/>
          <w:szCs w:val="24"/>
          <w:lang w:val="en-GB"/>
        </w:rPr>
        <w:lastRenderedPageBreak/>
        <w:t xml:space="preserve">8. INVESTOR PANEL </w:t>
      </w:r>
      <w:r w:rsidRPr="001C573F">
        <w:rPr>
          <w:rFonts w:ascii="Cambria" w:eastAsia="MS Gothic" w:hAnsi="Cambria" w:cs="Times New Roman"/>
          <w:b/>
          <w:bCs/>
          <w:color w:val="4F81BD"/>
          <w:sz w:val="24"/>
          <w:szCs w:val="24"/>
          <w:lang w:val="en-GB"/>
        </w:rPr>
        <w:t xml:space="preserve">INVESTMENT CRITERIA </w:t>
      </w:r>
    </w:p>
    <w:p w14:paraId="529D0CD4" w14:textId="77777777" w:rsidR="00C2449E" w:rsidRPr="001C573F" w:rsidRDefault="00C2449E" w:rsidP="00C2449E">
      <w:pPr>
        <w:spacing w:after="0"/>
        <w:rPr>
          <w:rFonts w:ascii="Calibri" w:eastAsia="Calibri" w:hAnsi="Calibri" w:cs="Times New Roman"/>
          <w:sz w:val="24"/>
          <w:szCs w:val="24"/>
        </w:rPr>
      </w:pPr>
    </w:p>
    <w:p w14:paraId="4ADC3C7D" w14:textId="264496C7" w:rsidR="00C2449E" w:rsidRPr="00C2449E" w:rsidRDefault="00C2449E" w:rsidP="00ED01FB">
      <w:pPr>
        <w:spacing w:after="160" w:line="259" w:lineRule="auto"/>
        <w:rPr>
          <w:b/>
          <w:bCs/>
          <w:sz w:val="28"/>
          <w:szCs w:val="28"/>
          <w:u w:val="single"/>
          <w:lang w:val="en-JM"/>
        </w:rPr>
      </w:pPr>
      <w:r w:rsidRPr="00351575">
        <w:rPr>
          <w:rFonts w:ascii="Calibri" w:eastAsia="Calibri" w:hAnsi="Calibri" w:cs="Times New Roman"/>
          <w:b/>
          <w:bCs/>
          <w:sz w:val="24"/>
          <w:szCs w:val="24"/>
        </w:rPr>
        <w:t>INVESTOR:</w:t>
      </w:r>
      <w:r w:rsidRPr="00351575">
        <w:rPr>
          <w:rFonts w:ascii="Calibri" w:eastAsia="Calibri" w:hAnsi="Calibri" w:cs="Times New Roman"/>
          <w:b/>
          <w:bCs/>
          <w:sz w:val="24"/>
          <w:szCs w:val="24"/>
        </w:rPr>
        <w:tab/>
        <w:t>DEVELOPMENT BANK OF JAMAICA</w:t>
      </w:r>
    </w:p>
    <w:tbl>
      <w:tblPr>
        <w:tblStyle w:val="LightList-Accent1"/>
        <w:tblW w:w="10170" w:type="dxa"/>
        <w:tblInd w:w="-252" w:type="dxa"/>
        <w:tblLayout w:type="fixed"/>
        <w:tblLook w:val="04A0" w:firstRow="1" w:lastRow="0" w:firstColumn="1" w:lastColumn="0" w:noHBand="0" w:noVBand="1"/>
      </w:tblPr>
      <w:tblGrid>
        <w:gridCol w:w="2289"/>
        <w:gridCol w:w="236"/>
        <w:gridCol w:w="7376"/>
        <w:gridCol w:w="269"/>
      </w:tblGrid>
      <w:tr w:rsidR="00C2449E" w:rsidRPr="00C2449E" w14:paraId="7362121C" w14:textId="77777777" w:rsidTr="00044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Borders>
              <w:right w:val="single" w:sz="4" w:space="0" w:color="auto"/>
            </w:tcBorders>
            <w:shd w:val="clear" w:color="auto" w:fill="AEAAAA" w:themeFill="background2" w:themeFillShade="BF"/>
          </w:tcPr>
          <w:p w14:paraId="7CA1A3CB" w14:textId="77777777" w:rsidR="00C2449E" w:rsidRPr="00C2449E" w:rsidRDefault="00C2449E" w:rsidP="00C2449E">
            <w:pPr>
              <w:spacing w:after="0"/>
              <w:rPr>
                <w:rFonts w:ascii="Calibri" w:hAnsi="Calibri"/>
                <w:lang w:val="en-JM"/>
              </w:rPr>
            </w:pPr>
            <w:r w:rsidRPr="00C2449E">
              <w:rPr>
                <w:rFonts w:ascii="Calibri" w:hAnsi="Calibri"/>
                <w:lang w:val="en-JM"/>
              </w:rPr>
              <w:t>INVESTOR</w:t>
            </w:r>
          </w:p>
        </w:tc>
        <w:tc>
          <w:tcPr>
            <w:tcW w:w="236" w:type="dxa"/>
            <w:tcBorders>
              <w:left w:val="single" w:sz="4" w:space="0" w:color="auto"/>
            </w:tcBorders>
            <w:shd w:val="clear" w:color="auto" w:fill="AEAAAA" w:themeFill="background2" w:themeFillShade="BF"/>
          </w:tcPr>
          <w:p w14:paraId="60159024" w14:textId="77777777" w:rsidR="00C2449E" w:rsidRPr="00C2449E" w:rsidRDefault="00C2449E" w:rsidP="00C2449E">
            <w:pPr>
              <w:spacing w:after="0"/>
              <w:cnfStyle w:val="100000000000" w:firstRow="1" w:lastRow="0" w:firstColumn="0" w:lastColumn="0" w:oddVBand="0" w:evenVBand="0" w:oddHBand="0" w:evenHBand="0" w:firstRowFirstColumn="0" w:firstRowLastColumn="0" w:lastRowFirstColumn="0" w:lastRowLastColumn="0"/>
              <w:rPr>
                <w:rFonts w:ascii="Calibri" w:hAnsi="Calibri"/>
                <w:lang w:val="en-JM"/>
              </w:rPr>
            </w:pPr>
          </w:p>
        </w:tc>
        <w:tc>
          <w:tcPr>
            <w:tcW w:w="7645" w:type="dxa"/>
            <w:gridSpan w:val="2"/>
            <w:tcBorders>
              <w:right w:val="single" w:sz="4" w:space="0" w:color="auto"/>
            </w:tcBorders>
            <w:shd w:val="clear" w:color="auto" w:fill="AEAAAA" w:themeFill="background2" w:themeFillShade="BF"/>
          </w:tcPr>
          <w:p w14:paraId="36479669" w14:textId="77777777" w:rsidR="00C2449E" w:rsidRPr="00C2449E" w:rsidRDefault="00C2449E" w:rsidP="00C2449E">
            <w:pPr>
              <w:spacing w:after="0"/>
              <w:cnfStyle w:val="100000000000" w:firstRow="1" w:lastRow="0" w:firstColumn="0" w:lastColumn="0" w:oddVBand="0" w:evenVBand="0" w:oddHBand="0" w:evenHBand="0" w:firstRowFirstColumn="0" w:firstRowLastColumn="0" w:lastRowFirstColumn="0" w:lastRowLastColumn="0"/>
              <w:rPr>
                <w:rFonts w:ascii="Calibri" w:hAnsi="Calibri"/>
                <w:lang w:val="en-JM"/>
              </w:rPr>
            </w:pPr>
            <w:r w:rsidRPr="00C2449E">
              <w:rPr>
                <w:rFonts w:ascii="Calibri" w:hAnsi="Calibri"/>
                <w:lang w:val="en-JM"/>
              </w:rPr>
              <w:t>Development Bank of Jamaica</w:t>
            </w:r>
          </w:p>
        </w:tc>
      </w:tr>
      <w:tr w:rsidR="00C2449E" w:rsidRPr="00C2449E" w14:paraId="386D4CD8" w14:textId="77777777" w:rsidTr="00044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Borders>
              <w:right w:val="single" w:sz="4" w:space="0" w:color="auto"/>
            </w:tcBorders>
          </w:tcPr>
          <w:p w14:paraId="145D9F74" w14:textId="77777777" w:rsidR="00C2449E" w:rsidRPr="00C2449E" w:rsidRDefault="00C2449E" w:rsidP="00C2449E">
            <w:pPr>
              <w:spacing w:after="0"/>
              <w:rPr>
                <w:rFonts w:ascii="Calibri" w:hAnsi="Calibri"/>
                <w:lang w:val="en-JM"/>
              </w:rPr>
            </w:pPr>
            <w:r w:rsidRPr="00C2449E">
              <w:rPr>
                <w:rFonts w:ascii="Calibri" w:hAnsi="Calibri"/>
                <w:lang w:val="en-JM"/>
              </w:rPr>
              <w:t>Legal structure</w:t>
            </w:r>
          </w:p>
        </w:tc>
        <w:tc>
          <w:tcPr>
            <w:tcW w:w="236" w:type="dxa"/>
            <w:tcBorders>
              <w:left w:val="single" w:sz="4" w:space="0" w:color="auto"/>
            </w:tcBorders>
          </w:tcPr>
          <w:p w14:paraId="66BAF28A"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b/>
                <w:bCs/>
                <w:lang w:val="en-JM"/>
              </w:rPr>
            </w:pPr>
          </w:p>
        </w:tc>
        <w:tc>
          <w:tcPr>
            <w:tcW w:w="7645" w:type="dxa"/>
            <w:gridSpan w:val="2"/>
            <w:tcBorders>
              <w:right w:val="single" w:sz="4" w:space="0" w:color="auto"/>
            </w:tcBorders>
          </w:tcPr>
          <w:p w14:paraId="2CF78A53"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r w:rsidRPr="00C2449E">
              <w:rPr>
                <w:rFonts w:ascii="Calibri" w:hAnsi="Calibri"/>
                <w:lang w:val="en-JM"/>
              </w:rPr>
              <w:t>Local regulation or offshore structure</w:t>
            </w:r>
          </w:p>
          <w:p w14:paraId="2F826519"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p>
        </w:tc>
      </w:tr>
      <w:tr w:rsidR="00C2449E" w:rsidRPr="00C2449E" w14:paraId="004C6BC4" w14:textId="77777777" w:rsidTr="00044634">
        <w:tc>
          <w:tcPr>
            <w:cnfStyle w:val="001000000000" w:firstRow="0" w:lastRow="0" w:firstColumn="1" w:lastColumn="0" w:oddVBand="0" w:evenVBand="0" w:oddHBand="0" w:evenHBand="0" w:firstRowFirstColumn="0" w:firstRowLastColumn="0" w:lastRowFirstColumn="0" w:lastRowLastColumn="0"/>
            <w:tcW w:w="2289" w:type="dxa"/>
            <w:tcBorders>
              <w:right w:val="single" w:sz="4" w:space="0" w:color="auto"/>
            </w:tcBorders>
          </w:tcPr>
          <w:p w14:paraId="5429CF5D" w14:textId="77777777" w:rsidR="00C2449E" w:rsidRPr="00C2449E" w:rsidRDefault="00C2449E" w:rsidP="00C2449E">
            <w:pPr>
              <w:spacing w:after="0"/>
              <w:rPr>
                <w:rFonts w:ascii="Calibri" w:hAnsi="Calibri"/>
                <w:lang w:val="en-JM"/>
              </w:rPr>
            </w:pPr>
            <w:r w:rsidRPr="00C2449E">
              <w:rPr>
                <w:rFonts w:ascii="Calibri" w:hAnsi="Calibri"/>
                <w:lang w:val="en-JM"/>
              </w:rPr>
              <w:t>Fund size</w:t>
            </w:r>
          </w:p>
        </w:tc>
        <w:tc>
          <w:tcPr>
            <w:tcW w:w="236" w:type="dxa"/>
            <w:tcBorders>
              <w:left w:val="single" w:sz="4" w:space="0" w:color="auto"/>
            </w:tcBorders>
          </w:tcPr>
          <w:p w14:paraId="6304F4E8"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b/>
                <w:bCs/>
                <w:lang w:val="en-JM"/>
              </w:rPr>
            </w:pPr>
          </w:p>
        </w:tc>
        <w:tc>
          <w:tcPr>
            <w:tcW w:w="7645" w:type="dxa"/>
            <w:gridSpan w:val="2"/>
            <w:tcBorders>
              <w:right w:val="single" w:sz="4" w:space="0" w:color="auto"/>
            </w:tcBorders>
          </w:tcPr>
          <w:p w14:paraId="5034451E" w14:textId="3CC44D16"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r w:rsidRPr="00C2449E">
              <w:rPr>
                <w:rFonts w:ascii="Calibri" w:hAnsi="Calibri"/>
                <w:lang w:val="en-JM"/>
              </w:rPr>
              <w:t xml:space="preserve">Not less than </w:t>
            </w:r>
            <w:r w:rsidR="006F0243">
              <w:rPr>
                <w:rFonts w:ascii="Calibri" w:hAnsi="Calibri"/>
                <w:lang w:val="en-JM"/>
              </w:rPr>
              <w:t xml:space="preserve">J$3 </w:t>
            </w:r>
            <w:r w:rsidR="00093C4D">
              <w:rPr>
                <w:rFonts w:ascii="Calibri" w:hAnsi="Calibri"/>
                <w:lang w:val="en-JM"/>
              </w:rPr>
              <w:t>billion</w:t>
            </w:r>
          </w:p>
        </w:tc>
      </w:tr>
      <w:tr w:rsidR="00C2449E" w:rsidRPr="00C2449E" w14:paraId="207F932F" w14:textId="77777777" w:rsidTr="00044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Borders>
              <w:right w:val="single" w:sz="4" w:space="0" w:color="auto"/>
            </w:tcBorders>
          </w:tcPr>
          <w:p w14:paraId="0ECEE5D8" w14:textId="77777777" w:rsidR="00C2449E" w:rsidRPr="00C2449E" w:rsidRDefault="00C2449E" w:rsidP="00C2449E">
            <w:pPr>
              <w:spacing w:after="0"/>
              <w:rPr>
                <w:rFonts w:ascii="Calibri" w:hAnsi="Calibri"/>
                <w:lang w:val="en-JM"/>
              </w:rPr>
            </w:pPr>
            <w:r w:rsidRPr="00C2449E">
              <w:rPr>
                <w:rFonts w:ascii="Calibri" w:hAnsi="Calibri"/>
                <w:lang w:val="en-JM"/>
              </w:rPr>
              <w:t>Fund Currency</w:t>
            </w:r>
          </w:p>
        </w:tc>
        <w:tc>
          <w:tcPr>
            <w:tcW w:w="236" w:type="dxa"/>
            <w:tcBorders>
              <w:left w:val="single" w:sz="4" w:space="0" w:color="auto"/>
            </w:tcBorders>
          </w:tcPr>
          <w:p w14:paraId="32544652"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b/>
                <w:bCs/>
                <w:lang w:val="en-JM"/>
              </w:rPr>
            </w:pPr>
          </w:p>
        </w:tc>
        <w:tc>
          <w:tcPr>
            <w:tcW w:w="7645" w:type="dxa"/>
            <w:gridSpan w:val="2"/>
            <w:tcBorders>
              <w:right w:val="single" w:sz="4" w:space="0" w:color="auto"/>
            </w:tcBorders>
          </w:tcPr>
          <w:p w14:paraId="661A7822" w14:textId="77777777" w:rsidR="00C2449E" w:rsidRPr="00C2449E" w:rsidRDefault="00C2449E" w:rsidP="00C2449E">
            <w:pPr>
              <w:cnfStyle w:val="000000100000" w:firstRow="0" w:lastRow="0" w:firstColumn="0" w:lastColumn="0" w:oddVBand="0" w:evenVBand="0" w:oddHBand="1" w:evenHBand="0" w:firstRowFirstColumn="0" w:firstRowLastColumn="0" w:lastRowFirstColumn="0" w:lastRowLastColumn="0"/>
              <w:rPr>
                <w:rFonts w:cstheme="minorHAnsi"/>
                <w:lang w:val="en-JM"/>
              </w:rPr>
            </w:pPr>
            <w:r w:rsidRPr="00C2449E">
              <w:rPr>
                <w:rFonts w:cstheme="minorHAnsi"/>
                <w:lang w:val="en-JM"/>
              </w:rPr>
              <w:t>Investments can be denominated in JM$ and US$</w:t>
            </w:r>
          </w:p>
        </w:tc>
      </w:tr>
      <w:tr w:rsidR="00C2449E" w:rsidRPr="00C2449E" w14:paraId="0B12CBFC" w14:textId="77777777" w:rsidTr="00044634">
        <w:tc>
          <w:tcPr>
            <w:cnfStyle w:val="001000000000" w:firstRow="0" w:lastRow="0" w:firstColumn="1" w:lastColumn="0" w:oddVBand="0" w:evenVBand="0" w:oddHBand="0" w:evenHBand="0" w:firstRowFirstColumn="0" w:firstRowLastColumn="0" w:lastRowFirstColumn="0" w:lastRowLastColumn="0"/>
            <w:tcW w:w="2289" w:type="dxa"/>
            <w:tcBorders>
              <w:right w:val="single" w:sz="4" w:space="0" w:color="auto"/>
            </w:tcBorders>
          </w:tcPr>
          <w:p w14:paraId="593E3BF4" w14:textId="77777777" w:rsidR="00C2449E" w:rsidRPr="00C2449E" w:rsidRDefault="00C2449E" w:rsidP="00C2449E">
            <w:pPr>
              <w:spacing w:after="0"/>
              <w:rPr>
                <w:rFonts w:ascii="Calibri" w:hAnsi="Calibri"/>
                <w:lang w:val="en-JM"/>
              </w:rPr>
            </w:pPr>
            <w:r w:rsidRPr="00C2449E">
              <w:rPr>
                <w:rFonts w:ascii="Calibri" w:hAnsi="Calibri"/>
                <w:lang w:val="en-JM"/>
              </w:rPr>
              <w:t>DBJ Participation</w:t>
            </w:r>
          </w:p>
        </w:tc>
        <w:tc>
          <w:tcPr>
            <w:tcW w:w="236" w:type="dxa"/>
            <w:tcBorders>
              <w:left w:val="single" w:sz="4" w:space="0" w:color="auto"/>
            </w:tcBorders>
          </w:tcPr>
          <w:p w14:paraId="438EDD3A"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b/>
                <w:bCs/>
                <w:lang w:val="en-JM"/>
              </w:rPr>
            </w:pPr>
          </w:p>
        </w:tc>
        <w:tc>
          <w:tcPr>
            <w:tcW w:w="7645" w:type="dxa"/>
            <w:gridSpan w:val="2"/>
            <w:tcBorders>
              <w:right w:val="single" w:sz="4" w:space="0" w:color="auto"/>
            </w:tcBorders>
          </w:tcPr>
          <w:p w14:paraId="5AC9CEE3" w14:textId="7DD0B32C"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r w:rsidRPr="00C2449E">
              <w:rPr>
                <w:rFonts w:ascii="Calibri" w:hAnsi="Calibri"/>
                <w:lang w:val="en-JM"/>
              </w:rPr>
              <w:t xml:space="preserve">Up to </w:t>
            </w:r>
            <w:r w:rsidR="006F0243">
              <w:rPr>
                <w:rFonts w:ascii="Calibri" w:hAnsi="Calibri"/>
                <w:lang w:val="en-JM"/>
              </w:rPr>
              <w:t xml:space="preserve">J$1 </w:t>
            </w:r>
            <w:r w:rsidR="00093C4D">
              <w:rPr>
                <w:rFonts w:ascii="Calibri" w:hAnsi="Calibri"/>
                <w:lang w:val="en-JM"/>
              </w:rPr>
              <w:t>billion</w:t>
            </w:r>
            <w:r w:rsidRPr="00C2449E">
              <w:rPr>
                <w:rFonts w:ascii="Calibri" w:hAnsi="Calibri"/>
                <w:lang w:val="en-JM"/>
              </w:rPr>
              <w:t xml:space="preserve"> (Up to 33.33% of the shares issued by the Fund). Disbursements to be made in Jamaican dollars.</w:t>
            </w:r>
          </w:p>
        </w:tc>
      </w:tr>
      <w:tr w:rsidR="00C2449E" w:rsidRPr="00C2449E" w14:paraId="3C07C3B4" w14:textId="77777777" w:rsidTr="00044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tcBorders>
              <w:right w:val="single" w:sz="4" w:space="0" w:color="auto"/>
            </w:tcBorders>
          </w:tcPr>
          <w:p w14:paraId="6B283D23" w14:textId="77777777" w:rsidR="00C2449E" w:rsidRPr="00C2449E" w:rsidRDefault="00C2449E" w:rsidP="00C2449E">
            <w:pPr>
              <w:spacing w:after="0"/>
              <w:rPr>
                <w:rFonts w:ascii="Calibri" w:hAnsi="Calibri"/>
                <w:lang w:val="en-JM"/>
              </w:rPr>
            </w:pPr>
            <w:r w:rsidRPr="00C2449E">
              <w:rPr>
                <w:rFonts w:ascii="Calibri" w:hAnsi="Calibri"/>
                <w:lang w:val="en-JM"/>
              </w:rPr>
              <w:t xml:space="preserve">Fund manager role &amp; financial commitment </w:t>
            </w:r>
          </w:p>
        </w:tc>
        <w:tc>
          <w:tcPr>
            <w:tcW w:w="236" w:type="dxa"/>
            <w:tcBorders>
              <w:left w:val="single" w:sz="4" w:space="0" w:color="auto"/>
            </w:tcBorders>
          </w:tcPr>
          <w:p w14:paraId="01BE6992"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p>
          <w:p w14:paraId="00E4B147"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p>
          <w:p w14:paraId="60719CDA"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b/>
                <w:bCs/>
                <w:lang w:val="en-JM"/>
              </w:rPr>
            </w:pPr>
          </w:p>
        </w:tc>
        <w:tc>
          <w:tcPr>
            <w:tcW w:w="7645" w:type="dxa"/>
            <w:gridSpan w:val="2"/>
            <w:tcBorders>
              <w:right w:val="single" w:sz="4" w:space="0" w:color="auto"/>
            </w:tcBorders>
          </w:tcPr>
          <w:p w14:paraId="019B408B"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r w:rsidRPr="00C2449E">
              <w:rPr>
                <w:rFonts w:ascii="Calibri" w:hAnsi="Calibri"/>
                <w:lang w:val="en-JM"/>
              </w:rPr>
              <w:t xml:space="preserve">Solely and exclusively responsible for the investment and exit decisions. Investment obligation of the Fund Manager shall be at least 2% of the fund. For existing funds, the fund manager must be able match the DBJ’s capital 2X, that is, </w:t>
            </w:r>
            <w:r w:rsidRPr="00C2449E">
              <w:rPr>
                <w:rFonts w:ascii="Calibri" w:hAnsi="Calibri" w:cs="Calibri"/>
                <w:color w:val="201F1E"/>
                <w:shd w:val="clear" w:color="auto" w:fill="FFFFFF"/>
                <w:lang w:val="en-JM"/>
              </w:rPr>
              <w:t xml:space="preserve">raise capital from other sources which must be at least twice DBJ’s capital </w:t>
            </w:r>
            <w:r w:rsidRPr="00C2449E" w:rsidDel="00AA7E6A">
              <w:rPr>
                <w:rFonts w:ascii="Calibri" w:hAnsi="Calibri"/>
                <w:lang w:val="en-JM"/>
              </w:rPr>
              <w:t xml:space="preserve"> </w:t>
            </w:r>
          </w:p>
        </w:tc>
      </w:tr>
      <w:tr w:rsidR="00C2449E" w:rsidRPr="00C2449E" w14:paraId="257FFBE2" w14:textId="77777777" w:rsidTr="00044634">
        <w:tc>
          <w:tcPr>
            <w:cnfStyle w:val="001000000000" w:firstRow="0" w:lastRow="0" w:firstColumn="1" w:lastColumn="0" w:oddVBand="0" w:evenVBand="0" w:oddHBand="0" w:evenHBand="0" w:firstRowFirstColumn="0" w:firstRowLastColumn="0" w:lastRowFirstColumn="0" w:lastRowLastColumn="0"/>
            <w:tcW w:w="2289" w:type="dxa"/>
            <w:tcBorders>
              <w:right w:val="single" w:sz="4" w:space="0" w:color="auto"/>
            </w:tcBorders>
          </w:tcPr>
          <w:p w14:paraId="10EB9481" w14:textId="77777777" w:rsidR="00C2449E" w:rsidRPr="00C2449E" w:rsidRDefault="00C2449E" w:rsidP="00C2449E">
            <w:pPr>
              <w:spacing w:after="0"/>
              <w:rPr>
                <w:rFonts w:ascii="Calibri" w:hAnsi="Calibri"/>
                <w:lang w:val="en-JM"/>
              </w:rPr>
            </w:pPr>
            <w:r w:rsidRPr="00C2449E">
              <w:rPr>
                <w:rFonts w:ascii="Calibri" w:hAnsi="Calibri"/>
                <w:lang w:val="en-JM"/>
              </w:rPr>
              <w:t>Stage/size of investee companies</w:t>
            </w:r>
          </w:p>
        </w:tc>
        <w:tc>
          <w:tcPr>
            <w:tcW w:w="236" w:type="dxa"/>
            <w:tcBorders>
              <w:left w:val="single" w:sz="4" w:space="0" w:color="auto"/>
            </w:tcBorders>
          </w:tcPr>
          <w:p w14:paraId="38ACDC13"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p>
        </w:tc>
        <w:tc>
          <w:tcPr>
            <w:tcW w:w="7645" w:type="dxa"/>
            <w:gridSpan w:val="2"/>
            <w:tcBorders>
              <w:right w:val="single" w:sz="4" w:space="0" w:color="auto"/>
            </w:tcBorders>
          </w:tcPr>
          <w:p w14:paraId="5A839C1E"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r w:rsidRPr="00C2449E">
              <w:rPr>
                <w:rFonts w:ascii="Calibri" w:hAnsi="Calibri"/>
                <w:lang w:val="en-JM"/>
              </w:rPr>
              <w:t>SMEs as nationally defined established and operating in Jamaica</w:t>
            </w:r>
          </w:p>
          <w:p w14:paraId="0609153A"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p>
        </w:tc>
      </w:tr>
      <w:tr w:rsidR="00C2449E" w:rsidRPr="00C2449E" w14:paraId="0087A366" w14:textId="77777777" w:rsidTr="00044634">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89" w:type="dxa"/>
            <w:tcBorders>
              <w:bottom w:val="single" w:sz="4" w:space="0" w:color="auto"/>
              <w:right w:val="single" w:sz="4" w:space="0" w:color="auto"/>
            </w:tcBorders>
          </w:tcPr>
          <w:p w14:paraId="39EECE37" w14:textId="77777777" w:rsidR="00C2449E" w:rsidRPr="00C2449E" w:rsidRDefault="00C2449E" w:rsidP="00C2449E">
            <w:pPr>
              <w:spacing w:after="0"/>
              <w:rPr>
                <w:rFonts w:ascii="Calibri" w:hAnsi="Calibri"/>
                <w:lang w:val="en-JM"/>
              </w:rPr>
            </w:pPr>
            <w:r w:rsidRPr="00C2449E">
              <w:rPr>
                <w:rFonts w:ascii="Calibri" w:hAnsi="Calibri"/>
                <w:lang w:val="en-JM"/>
              </w:rPr>
              <w:t>Investment thesis</w:t>
            </w:r>
          </w:p>
        </w:tc>
        <w:tc>
          <w:tcPr>
            <w:tcW w:w="236" w:type="dxa"/>
            <w:tcBorders>
              <w:left w:val="single" w:sz="4" w:space="0" w:color="auto"/>
              <w:bottom w:val="single" w:sz="4" w:space="0" w:color="auto"/>
            </w:tcBorders>
          </w:tcPr>
          <w:p w14:paraId="1969E7E7"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b/>
                <w:bCs/>
                <w:lang w:val="en-JM"/>
              </w:rPr>
            </w:pPr>
          </w:p>
        </w:tc>
        <w:tc>
          <w:tcPr>
            <w:tcW w:w="7645" w:type="dxa"/>
            <w:gridSpan w:val="2"/>
            <w:tcBorders>
              <w:bottom w:val="single" w:sz="4" w:space="0" w:color="auto"/>
              <w:right w:val="single" w:sz="4" w:space="0" w:color="auto"/>
            </w:tcBorders>
          </w:tcPr>
          <w:p w14:paraId="0EF24D2E" w14:textId="7A98F417" w:rsidR="00C2449E" w:rsidRPr="00C2449E" w:rsidRDefault="00C2449E" w:rsidP="00C2449E">
            <w:pPr>
              <w:spacing w:line="240" w:lineRule="auto"/>
              <w:cnfStyle w:val="000000100000" w:firstRow="0" w:lastRow="0" w:firstColumn="0" w:lastColumn="0" w:oddVBand="0" w:evenVBand="0" w:oddHBand="1" w:evenHBand="0" w:firstRowFirstColumn="0" w:firstRowLastColumn="0" w:lastRowFirstColumn="0" w:lastRowLastColumn="0"/>
              <w:rPr>
                <w:rFonts w:cstheme="minorHAnsi"/>
                <w:lang w:val="en-JM"/>
              </w:rPr>
            </w:pPr>
            <w:r w:rsidRPr="00C2449E">
              <w:rPr>
                <w:rFonts w:cstheme="minorHAnsi"/>
                <w:lang w:val="en-JM"/>
              </w:rPr>
              <w:t xml:space="preserve">Funding (including matching) should be invested in SMEs in Jamaica with some flexibility on funds raised, </w:t>
            </w:r>
            <w:proofErr w:type="gramStart"/>
            <w:r w:rsidRPr="00C2449E">
              <w:rPr>
                <w:rFonts w:cstheme="minorHAnsi"/>
                <w:lang w:val="en-JM"/>
              </w:rPr>
              <w:t>in excess of</w:t>
            </w:r>
            <w:proofErr w:type="gramEnd"/>
            <w:r w:rsidRPr="00C2449E">
              <w:rPr>
                <w:rFonts w:cstheme="minorHAnsi"/>
                <w:lang w:val="en-JM"/>
              </w:rPr>
              <w:t xml:space="preserve"> </w:t>
            </w:r>
            <w:r w:rsidR="006F0243">
              <w:rPr>
                <w:rFonts w:cstheme="minorHAnsi"/>
                <w:lang w:val="en-JM"/>
              </w:rPr>
              <w:t xml:space="preserve">J$3 </w:t>
            </w:r>
            <w:r w:rsidR="00093C4D">
              <w:rPr>
                <w:rFonts w:cstheme="minorHAnsi"/>
                <w:lang w:val="en-JM"/>
              </w:rPr>
              <w:t>billion</w:t>
            </w:r>
            <w:r w:rsidRPr="00C2449E">
              <w:rPr>
                <w:rFonts w:cstheme="minorHAnsi"/>
                <w:lang w:val="en-JM"/>
              </w:rPr>
              <w:t xml:space="preserve">, which could admit SMEs not based in Jamaica. </w:t>
            </w:r>
          </w:p>
        </w:tc>
      </w:tr>
      <w:tr w:rsidR="00C2449E" w:rsidRPr="00C2449E" w14:paraId="24D341A3" w14:textId="77777777" w:rsidTr="00044634">
        <w:trPr>
          <w:trHeight w:val="442"/>
        </w:trPr>
        <w:tc>
          <w:tcPr>
            <w:cnfStyle w:val="001000000000" w:firstRow="0" w:lastRow="0" w:firstColumn="1" w:lastColumn="0" w:oddVBand="0" w:evenVBand="0" w:oddHBand="0" w:evenHBand="0" w:firstRowFirstColumn="0" w:firstRowLastColumn="0" w:lastRowFirstColumn="0" w:lastRowLastColumn="0"/>
            <w:tcW w:w="2289" w:type="dxa"/>
            <w:tcBorders>
              <w:bottom w:val="single" w:sz="4" w:space="0" w:color="auto"/>
              <w:right w:val="single" w:sz="4" w:space="0" w:color="auto"/>
            </w:tcBorders>
          </w:tcPr>
          <w:p w14:paraId="6E9430AE" w14:textId="77777777" w:rsidR="00C2449E" w:rsidRPr="00C2449E" w:rsidRDefault="00C2449E" w:rsidP="00C2449E">
            <w:pPr>
              <w:spacing w:after="0"/>
              <w:rPr>
                <w:rFonts w:ascii="Calibri" w:hAnsi="Calibri"/>
                <w:lang w:val="en-JM"/>
              </w:rPr>
            </w:pPr>
            <w:r w:rsidRPr="00C2449E">
              <w:rPr>
                <w:rFonts w:ascii="Calibri" w:hAnsi="Calibri"/>
                <w:lang w:val="en-JM"/>
              </w:rPr>
              <w:t>Instruments</w:t>
            </w:r>
          </w:p>
        </w:tc>
        <w:tc>
          <w:tcPr>
            <w:tcW w:w="236" w:type="dxa"/>
            <w:tcBorders>
              <w:left w:val="single" w:sz="4" w:space="0" w:color="auto"/>
              <w:bottom w:val="single" w:sz="4" w:space="0" w:color="auto"/>
            </w:tcBorders>
            <w:shd w:val="clear" w:color="auto" w:fill="auto"/>
          </w:tcPr>
          <w:p w14:paraId="461C7EFE"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b/>
                <w:bCs/>
                <w:lang w:val="en-JM"/>
              </w:rPr>
            </w:pPr>
          </w:p>
        </w:tc>
        <w:tc>
          <w:tcPr>
            <w:tcW w:w="7645" w:type="dxa"/>
            <w:gridSpan w:val="2"/>
            <w:tcBorders>
              <w:bottom w:val="single" w:sz="4" w:space="0" w:color="auto"/>
              <w:right w:val="single" w:sz="4" w:space="0" w:color="auto"/>
            </w:tcBorders>
            <w:shd w:val="clear" w:color="auto" w:fill="auto"/>
          </w:tcPr>
          <w:p w14:paraId="4E40BE59" w14:textId="2D1BF3B6" w:rsidR="00C2449E" w:rsidRPr="00C2449E" w:rsidRDefault="001B107A"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r w:rsidRPr="00C2449E">
              <w:rPr>
                <w:rFonts w:ascii="Calibri" w:hAnsi="Calibri"/>
                <w:lang w:val="en-JM"/>
              </w:rPr>
              <w:t>Equity</w:t>
            </w:r>
            <w:r>
              <w:rPr>
                <w:rFonts w:ascii="Calibri" w:hAnsi="Calibri"/>
                <w:lang w:val="en-JM"/>
              </w:rPr>
              <w:t>,</w:t>
            </w:r>
            <w:r w:rsidRPr="00C2449E">
              <w:rPr>
                <w:rFonts w:ascii="Calibri" w:hAnsi="Calibri"/>
                <w:lang w:val="en-JM"/>
              </w:rPr>
              <w:t xml:space="preserve"> Quasi</w:t>
            </w:r>
            <w:r w:rsidR="00C2449E" w:rsidRPr="00C2449E">
              <w:rPr>
                <w:rFonts w:ascii="Calibri" w:hAnsi="Calibri"/>
                <w:lang w:val="en-JM"/>
              </w:rPr>
              <w:t>-equity</w:t>
            </w:r>
            <w:r>
              <w:rPr>
                <w:rFonts w:ascii="Calibri" w:hAnsi="Calibri"/>
                <w:lang w:val="en-JM"/>
              </w:rPr>
              <w:t>,</w:t>
            </w:r>
            <w:r w:rsidR="00C2449E" w:rsidRPr="00C2449E">
              <w:rPr>
                <w:rFonts w:ascii="Calibri" w:hAnsi="Calibri"/>
                <w:lang w:val="en-JM"/>
              </w:rPr>
              <w:t xml:space="preserve"> and Self-Liquidating structures, may be employed where necessary to support the equity transactions </w:t>
            </w:r>
          </w:p>
        </w:tc>
      </w:tr>
      <w:tr w:rsidR="00C2449E" w:rsidRPr="00C2449E" w14:paraId="53B3686C" w14:textId="77777777" w:rsidTr="0004463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289" w:type="dxa"/>
            <w:tcBorders>
              <w:bottom w:val="single" w:sz="4" w:space="0" w:color="auto"/>
              <w:right w:val="single" w:sz="4" w:space="0" w:color="auto"/>
            </w:tcBorders>
          </w:tcPr>
          <w:p w14:paraId="5789D3DE" w14:textId="77777777" w:rsidR="00C2449E" w:rsidRPr="00C2449E" w:rsidRDefault="00C2449E" w:rsidP="00C2449E">
            <w:pPr>
              <w:spacing w:after="0"/>
              <w:rPr>
                <w:rFonts w:ascii="Calibri" w:hAnsi="Calibri"/>
                <w:lang w:val="en-JM"/>
              </w:rPr>
            </w:pPr>
            <w:r w:rsidRPr="00C2449E">
              <w:rPr>
                <w:rFonts w:ascii="Calibri" w:hAnsi="Calibri"/>
                <w:lang w:val="en-JM"/>
              </w:rPr>
              <w:t>Focus/Priority Sectors</w:t>
            </w:r>
          </w:p>
        </w:tc>
        <w:tc>
          <w:tcPr>
            <w:tcW w:w="7612" w:type="dxa"/>
            <w:gridSpan w:val="2"/>
            <w:tcBorders>
              <w:top w:val="nil"/>
              <w:bottom w:val="single" w:sz="4" w:space="0" w:color="auto"/>
              <w:right w:val="nil"/>
            </w:tcBorders>
            <w:shd w:val="clear" w:color="auto" w:fill="auto"/>
          </w:tcPr>
          <w:p w14:paraId="5D91DAB1"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r w:rsidRPr="00C2449E">
              <w:rPr>
                <w:rFonts w:ascii="Calibri" w:hAnsi="Calibri"/>
                <w:lang w:val="en-JM"/>
              </w:rPr>
              <w:t xml:space="preserve">     Sector neutral, however funds with sector specific strategies may be</w:t>
            </w:r>
          </w:p>
          <w:p w14:paraId="3F7F997C"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r w:rsidRPr="00C2449E">
              <w:rPr>
                <w:rFonts w:ascii="Calibri" w:hAnsi="Calibri"/>
                <w:lang w:val="en-JM"/>
              </w:rPr>
              <w:t xml:space="preserve">     considered</w:t>
            </w:r>
          </w:p>
        </w:tc>
        <w:tc>
          <w:tcPr>
            <w:tcW w:w="269" w:type="dxa"/>
            <w:tcBorders>
              <w:top w:val="nil"/>
              <w:bottom w:val="single" w:sz="4" w:space="0" w:color="auto"/>
              <w:right w:val="single" w:sz="4" w:space="0" w:color="auto"/>
            </w:tcBorders>
            <w:shd w:val="clear" w:color="auto" w:fill="auto"/>
          </w:tcPr>
          <w:p w14:paraId="1D2FF414"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r w:rsidRPr="00C2449E">
              <w:rPr>
                <w:rFonts w:ascii="Calibri" w:hAnsi="Calibri"/>
                <w:lang w:val="en-JM"/>
              </w:rPr>
              <w:t xml:space="preserve"> </w:t>
            </w:r>
          </w:p>
        </w:tc>
      </w:tr>
      <w:tr w:rsidR="00C2449E" w:rsidRPr="00C2449E" w14:paraId="40AB1CE6" w14:textId="77777777" w:rsidTr="00044634">
        <w:trPr>
          <w:trHeight w:val="360"/>
        </w:trPr>
        <w:tc>
          <w:tcPr>
            <w:cnfStyle w:val="001000000000" w:firstRow="0" w:lastRow="0" w:firstColumn="1" w:lastColumn="0" w:oddVBand="0" w:evenVBand="0" w:oddHBand="0" w:evenHBand="0" w:firstRowFirstColumn="0" w:firstRowLastColumn="0" w:lastRowFirstColumn="0" w:lastRowLastColumn="0"/>
            <w:tcW w:w="2289" w:type="dxa"/>
            <w:vMerge w:val="restart"/>
            <w:tcBorders>
              <w:right w:val="single" w:sz="4" w:space="0" w:color="auto"/>
            </w:tcBorders>
          </w:tcPr>
          <w:p w14:paraId="24B9EA2D" w14:textId="77777777" w:rsidR="00C2449E" w:rsidRPr="00C2449E" w:rsidRDefault="00C2449E" w:rsidP="00C2449E">
            <w:pPr>
              <w:spacing w:after="0"/>
              <w:rPr>
                <w:rFonts w:ascii="Calibri" w:hAnsi="Calibri"/>
                <w:lang w:val="en-JM"/>
              </w:rPr>
            </w:pPr>
            <w:r w:rsidRPr="00C2449E">
              <w:rPr>
                <w:rFonts w:ascii="Calibri" w:hAnsi="Calibri"/>
                <w:lang w:val="en-JM"/>
              </w:rPr>
              <w:t xml:space="preserve">Investor Participation in the Governance of the Fund </w:t>
            </w:r>
          </w:p>
        </w:tc>
        <w:tc>
          <w:tcPr>
            <w:tcW w:w="7612" w:type="dxa"/>
            <w:gridSpan w:val="2"/>
            <w:tcBorders>
              <w:top w:val="nil"/>
              <w:bottom w:val="single" w:sz="4" w:space="0" w:color="auto"/>
              <w:right w:val="nil"/>
            </w:tcBorders>
            <w:shd w:val="clear" w:color="auto" w:fill="auto"/>
          </w:tcPr>
          <w:p w14:paraId="0B598C41"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r w:rsidRPr="00C2449E">
              <w:rPr>
                <w:rFonts w:ascii="Calibri" w:hAnsi="Calibri"/>
                <w:lang w:val="en-JM"/>
              </w:rPr>
              <w:t>Proportional to participation and no individual investor can have power to veto decisions</w:t>
            </w:r>
          </w:p>
        </w:tc>
        <w:tc>
          <w:tcPr>
            <w:tcW w:w="269" w:type="dxa"/>
            <w:tcBorders>
              <w:top w:val="nil"/>
              <w:bottom w:val="single" w:sz="4" w:space="0" w:color="auto"/>
              <w:right w:val="single" w:sz="4" w:space="0" w:color="auto"/>
            </w:tcBorders>
            <w:shd w:val="clear" w:color="auto" w:fill="auto"/>
          </w:tcPr>
          <w:p w14:paraId="05664D2B"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p>
        </w:tc>
      </w:tr>
      <w:tr w:rsidR="00C2449E" w:rsidRPr="00C2449E" w14:paraId="1BC44969" w14:textId="77777777" w:rsidTr="00044634">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89" w:type="dxa"/>
            <w:vMerge/>
            <w:tcBorders>
              <w:right w:val="single" w:sz="4" w:space="0" w:color="auto"/>
            </w:tcBorders>
          </w:tcPr>
          <w:p w14:paraId="7F8078D2" w14:textId="77777777" w:rsidR="00C2449E" w:rsidRPr="00C2449E" w:rsidRDefault="00C2449E" w:rsidP="00C2449E">
            <w:pPr>
              <w:spacing w:after="0"/>
              <w:rPr>
                <w:rFonts w:ascii="Calibri" w:hAnsi="Calibri"/>
                <w:lang w:val="en-JM"/>
              </w:rPr>
            </w:pPr>
          </w:p>
        </w:tc>
        <w:tc>
          <w:tcPr>
            <w:tcW w:w="7612" w:type="dxa"/>
            <w:gridSpan w:val="2"/>
            <w:tcBorders>
              <w:top w:val="single" w:sz="4" w:space="0" w:color="auto"/>
              <w:bottom w:val="single" w:sz="4" w:space="0" w:color="auto"/>
              <w:right w:val="nil"/>
            </w:tcBorders>
            <w:shd w:val="clear" w:color="auto" w:fill="auto"/>
          </w:tcPr>
          <w:p w14:paraId="7EA80540"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r w:rsidRPr="00C2449E">
              <w:rPr>
                <w:rFonts w:ascii="Calibri" w:hAnsi="Calibri"/>
                <w:lang w:val="en-JM"/>
              </w:rPr>
              <w:t>No participation on the Investment Committee.  Observing member, with the same rights to information as the voting members.</w:t>
            </w:r>
          </w:p>
          <w:p w14:paraId="0EDE56EC"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r w:rsidRPr="00C2449E">
              <w:rPr>
                <w:rFonts w:ascii="Calibri" w:hAnsi="Calibri"/>
                <w:lang w:val="en-JM"/>
              </w:rPr>
              <w:t>Participation on the Shareholder Advisory Committee (SAC) or Limited Partner Advisory Committee (LPAC)</w:t>
            </w:r>
          </w:p>
        </w:tc>
        <w:tc>
          <w:tcPr>
            <w:tcW w:w="269" w:type="dxa"/>
            <w:tcBorders>
              <w:top w:val="single" w:sz="4" w:space="0" w:color="auto"/>
              <w:bottom w:val="single" w:sz="4" w:space="0" w:color="auto"/>
              <w:right w:val="single" w:sz="4" w:space="0" w:color="auto"/>
            </w:tcBorders>
            <w:shd w:val="clear" w:color="auto" w:fill="auto"/>
          </w:tcPr>
          <w:p w14:paraId="02B95A27"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p>
        </w:tc>
      </w:tr>
      <w:tr w:rsidR="00C2449E" w:rsidRPr="00C2449E" w14:paraId="0E8D16C6" w14:textId="77777777" w:rsidTr="00044634">
        <w:trPr>
          <w:trHeight w:val="360"/>
        </w:trPr>
        <w:tc>
          <w:tcPr>
            <w:cnfStyle w:val="001000000000" w:firstRow="0" w:lastRow="0" w:firstColumn="1" w:lastColumn="0" w:oddVBand="0" w:evenVBand="0" w:oddHBand="0" w:evenHBand="0" w:firstRowFirstColumn="0" w:firstRowLastColumn="0" w:lastRowFirstColumn="0" w:lastRowLastColumn="0"/>
            <w:tcW w:w="2289" w:type="dxa"/>
            <w:vMerge/>
            <w:tcBorders>
              <w:bottom w:val="single" w:sz="4" w:space="0" w:color="auto"/>
              <w:right w:val="single" w:sz="4" w:space="0" w:color="auto"/>
            </w:tcBorders>
          </w:tcPr>
          <w:p w14:paraId="5441004F" w14:textId="77777777" w:rsidR="00C2449E" w:rsidRPr="00C2449E" w:rsidRDefault="00C2449E" w:rsidP="00C2449E">
            <w:pPr>
              <w:spacing w:after="0"/>
              <w:rPr>
                <w:rFonts w:ascii="Calibri" w:hAnsi="Calibri"/>
                <w:lang w:val="en-JM"/>
              </w:rPr>
            </w:pPr>
          </w:p>
        </w:tc>
        <w:tc>
          <w:tcPr>
            <w:tcW w:w="7612" w:type="dxa"/>
            <w:gridSpan w:val="2"/>
            <w:tcBorders>
              <w:top w:val="single" w:sz="4" w:space="0" w:color="auto"/>
              <w:bottom w:val="single" w:sz="4" w:space="0" w:color="auto"/>
              <w:right w:val="nil"/>
            </w:tcBorders>
            <w:shd w:val="clear" w:color="auto" w:fill="auto"/>
          </w:tcPr>
          <w:p w14:paraId="5CB5CC43"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r w:rsidRPr="00C2449E">
              <w:rPr>
                <w:rFonts w:ascii="Calibri" w:hAnsi="Calibri"/>
                <w:lang w:val="en-JM"/>
              </w:rPr>
              <w:t>Strategic instances: Active participation as a voting member</w:t>
            </w:r>
          </w:p>
        </w:tc>
        <w:tc>
          <w:tcPr>
            <w:tcW w:w="269" w:type="dxa"/>
            <w:tcBorders>
              <w:top w:val="single" w:sz="4" w:space="0" w:color="auto"/>
              <w:bottom w:val="single" w:sz="4" w:space="0" w:color="auto"/>
              <w:right w:val="single" w:sz="4" w:space="0" w:color="auto"/>
            </w:tcBorders>
            <w:shd w:val="clear" w:color="auto" w:fill="auto"/>
          </w:tcPr>
          <w:p w14:paraId="4569FFF4" w14:textId="77777777" w:rsidR="00C2449E" w:rsidRPr="00C2449E" w:rsidRDefault="00C2449E" w:rsidP="00C2449E">
            <w:pPr>
              <w:spacing w:after="0"/>
              <w:cnfStyle w:val="000000000000" w:firstRow="0" w:lastRow="0" w:firstColumn="0" w:lastColumn="0" w:oddVBand="0" w:evenVBand="0" w:oddHBand="0" w:evenHBand="0" w:firstRowFirstColumn="0" w:firstRowLastColumn="0" w:lastRowFirstColumn="0" w:lastRowLastColumn="0"/>
              <w:rPr>
                <w:rFonts w:ascii="Calibri" w:hAnsi="Calibri"/>
                <w:lang w:val="en-JM"/>
              </w:rPr>
            </w:pPr>
          </w:p>
        </w:tc>
      </w:tr>
      <w:tr w:rsidR="00C2449E" w:rsidRPr="00C2449E" w14:paraId="4ACE7025" w14:textId="77777777" w:rsidTr="00044634">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2289" w:type="dxa"/>
            <w:tcBorders>
              <w:top w:val="single" w:sz="4" w:space="0" w:color="auto"/>
              <w:right w:val="single" w:sz="4" w:space="0" w:color="auto"/>
            </w:tcBorders>
          </w:tcPr>
          <w:p w14:paraId="55AF6951" w14:textId="77777777" w:rsidR="00C2449E" w:rsidRPr="00C2449E" w:rsidRDefault="00C2449E" w:rsidP="00C2449E">
            <w:pPr>
              <w:spacing w:after="0"/>
              <w:rPr>
                <w:rFonts w:ascii="Calibri" w:hAnsi="Calibri"/>
                <w:lang w:val="en-JM"/>
              </w:rPr>
            </w:pPr>
            <w:r w:rsidRPr="00C2449E">
              <w:rPr>
                <w:rFonts w:ascii="Calibri" w:hAnsi="Calibri"/>
                <w:lang w:val="en-JM"/>
              </w:rPr>
              <w:t>Specific Mandatory clauses</w:t>
            </w:r>
          </w:p>
        </w:tc>
        <w:tc>
          <w:tcPr>
            <w:tcW w:w="7881" w:type="dxa"/>
            <w:gridSpan w:val="3"/>
            <w:tcBorders>
              <w:top w:val="single" w:sz="4" w:space="0" w:color="auto"/>
              <w:bottom w:val="nil"/>
              <w:right w:val="single" w:sz="4" w:space="0" w:color="auto"/>
            </w:tcBorders>
            <w:shd w:val="clear" w:color="auto" w:fill="auto"/>
          </w:tcPr>
          <w:p w14:paraId="45683BE4" w14:textId="77777777" w:rsidR="00C2449E" w:rsidRPr="00C2449E" w:rsidRDefault="00C2449E" w:rsidP="00C2449E">
            <w:pPr>
              <w:spacing w:after="0"/>
              <w:cnfStyle w:val="000000100000" w:firstRow="0" w:lastRow="0" w:firstColumn="0" w:lastColumn="0" w:oddVBand="0" w:evenVBand="0" w:oddHBand="1" w:evenHBand="0" w:firstRowFirstColumn="0" w:firstRowLastColumn="0" w:lastRowFirstColumn="0" w:lastRowLastColumn="0"/>
              <w:rPr>
                <w:rFonts w:ascii="Calibri" w:hAnsi="Calibri"/>
                <w:lang w:val="en-JM"/>
              </w:rPr>
            </w:pPr>
            <w:r w:rsidRPr="00C2449E">
              <w:rPr>
                <w:rFonts w:ascii="Calibri" w:hAnsi="Calibri"/>
                <w:lang w:val="en-JM"/>
              </w:rPr>
              <w:t xml:space="preserve">Priority of co-investment for investors of the Fund; Key-man clause; Policy on dismissal with or without cause; Presentation of detailed Investment Policy; Presentation of detailed Information Policy; Auditing of accounts of the Fund with specific audit in relation to the pre-operating costs, management, and performance metrics; Treatment of conflicts of interest; Environmental, Social and Governance Policies. </w:t>
            </w:r>
          </w:p>
        </w:tc>
      </w:tr>
      <w:tr w:rsidR="00C2449E" w:rsidRPr="00C2449E" w14:paraId="55815C8F" w14:textId="77777777" w:rsidTr="00044634">
        <w:tc>
          <w:tcPr>
            <w:cnfStyle w:val="001000000000" w:firstRow="0" w:lastRow="0" w:firstColumn="1" w:lastColumn="0" w:oddVBand="0" w:evenVBand="0" w:oddHBand="0" w:evenHBand="0" w:firstRowFirstColumn="0" w:firstRowLastColumn="0" w:lastRowFirstColumn="0" w:lastRowLastColumn="0"/>
            <w:tcW w:w="2289" w:type="dxa"/>
            <w:tcBorders>
              <w:right w:val="single" w:sz="4" w:space="0" w:color="auto"/>
            </w:tcBorders>
          </w:tcPr>
          <w:p w14:paraId="6CB11EDE" w14:textId="77777777" w:rsidR="00C2449E" w:rsidRPr="00C2449E" w:rsidRDefault="00C2449E" w:rsidP="00C2449E">
            <w:pPr>
              <w:spacing w:after="0"/>
              <w:rPr>
                <w:rFonts w:ascii="Calibri" w:hAnsi="Calibri"/>
                <w:lang w:val="en-JM"/>
              </w:rPr>
            </w:pPr>
            <w:r w:rsidRPr="00C2449E">
              <w:rPr>
                <w:rFonts w:ascii="Calibri" w:hAnsi="Calibri"/>
                <w:lang w:val="en-JM"/>
              </w:rPr>
              <w:t>Duration of the fund</w:t>
            </w:r>
          </w:p>
        </w:tc>
        <w:tc>
          <w:tcPr>
            <w:tcW w:w="7881" w:type="dxa"/>
            <w:gridSpan w:val="3"/>
            <w:tcBorders>
              <w:top w:val="single" w:sz="4" w:space="0" w:color="auto"/>
              <w:bottom w:val="single" w:sz="4" w:space="0" w:color="auto"/>
              <w:right w:val="single" w:sz="4" w:space="0" w:color="auto"/>
            </w:tcBorders>
            <w:shd w:val="clear" w:color="auto" w:fill="auto"/>
          </w:tcPr>
          <w:p w14:paraId="61FA2C46" w14:textId="77777777" w:rsidR="00C2449E" w:rsidRPr="00C2449E" w:rsidRDefault="00C2449E" w:rsidP="00625D6F">
            <w:pPr>
              <w:numPr>
                <w:ilvl w:val="0"/>
                <w:numId w:val="2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lang w:val="en-JM"/>
              </w:rPr>
            </w:pPr>
            <w:r w:rsidRPr="00C2449E">
              <w:rPr>
                <w:rFonts w:ascii="Calibri" w:hAnsi="Calibri"/>
                <w:lang w:val="en-JM"/>
              </w:rPr>
              <w:t>years extendable by an additional period of not more than 5 years</w:t>
            </w:r>
          </w:p>
        </w:tc>
      </w:tr>
    </w:tbl>
    <w:p w14:paraId="5EC8BFB3" w14:textId="77777777" w:rsidR="00C2449E" w:rsidRPr="00C2449E" w:rsidRDefault="00C2449E" w:rsidP="00C2449E">
      <w:pPr>
        <w:rPr>
          <w:rFonts w:ascii="Cambria" w:eastAsia="MS Gothic" w:hAnsi="Cambria" w:cs="Times New Roman"/>
          <w:b/>
          <w:bCs/>
          <w:color w:val="4F81BD"/>
          <w:sz w:val="24"/>
          <w:szCs w:val="24"/>
          <w:lang w:val="en-GB"/>
        </w:rPr>
      </w:pPr>
    </w:p>
    <w:p w14:paraId="566F297E" w14:textId="77777777" w:rsidR="00C2449E" w:rsidRPr="00C2449E" w:rsidRDefault="00C2449E" w:rsidP="00C2449E">
      <w:pPr>
        <w:rPr>
          <w:rFonts w:ascii="Cambria" w:eastAsia="MS Gothic" w:hAnsi="Cambria" w:cs="Times New Roman"/>
          <w:b/>
          <w:bCs/>
          <w:color w:val="0070C0"/>
          <w:sz w:val="24"/>
          <w:szCs w:val="24"/>
          <w:lang w:val="en-GB"/>
        </w:rPr>
      </w:pPr>
    </w:p>
    <w:p w14:paraId="09677727" w14:textId="2FE3DCD1" w:rsidR="00ED01FB" w:rsidRDefault="00ED01FB">
      <w:pPr>
        <w:spacing w:after="160" w:line="259" w:lineRule="auto"/>
        <w:rPr>
          <w:rFonts w:ascii="Cambria" w:eastAsia="MS Gothic" w:hAnsi="Cambria" w:cs="Times New Roman"/>
          <w:b/>
          <w:bCs/>
          <w:color w:val="0070C0"/>
          <w:sz w:val="24"/>
          <w:szCs w:val="24"/>
          <w:lang w:val="en-GB"/>
        </w:rPr>
      </w:pPr>
      <w:r>
        <w:rPr>
          <w:rFonts w:ascii="Cambria" w:eastAsia="MS Gothic" w:hAnsi="Cambria" w:cs="Times New Roman"/>
          <w:b/>
          <w:bCs/>
          <w:color w:val="0070C0"/>
          <w:sz w:val="24"/>
          <w:szCs w:val="24"/>
          <w:lang w:val="en-GB"/>
        </w:rPr>
        <w:br w:type="page"/>
      </w:r>
    </w:p>
    <w:bookmarkEnd w:id="62"/>
    <w:p w14:paraId="396B1B2E" w14:textId="2BBFC7D0" w:rsidR="00DE62DF" w:rsidRPr="00D902D2" w:rsidRDefault="00807502" w:rsidP="005C2C62">
      <w:pPr>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lastRenderedPageBreak/>
        <w:t>APPENDICES</w:t>
      </w:r>
      <w:bookmarkStart w:id="63" w:name="_Toc31010202"/>
      <w:bookmarkStart w:id="64" w:name="_Hlk30061572"/>
    </w:p>
    <w:p w14:paraId="0C3841AF" w14:textId="77777777" w:rsidR="00471D69" w:rsidRPr="00D902D2" w:rsidRDefault="00471D69" w:rsidP="00471D69">
      <w:pPr>
        <w:keepNext/>
        <w:spacing w:before="240" w:after="60"/>
        <w:jc w:val="center"/>
        <w:outlineLvl w:val="0"/>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t>EVALUATION CRITERIA</w:t>
      </w:r>
    </w:p>
    <w:p w14:paraId="61FB5EB1" w14:textId="6F93D0DE" w:rsidR="00471D69" w:rsidRPr="00C31127" w:rsidRDefault="00471D69" w:rsidP="00471D69">
      <w:pPr>
        <w:keepNext/>
        <w:spacing w:before="240" w:after="60"/>
        <w:outlineLvl w:val="0"/>
        <w:rPr>
          <w:rFonts w:eastAsia="Times New Roman" w:cstheme="minorHAnsi"/>
          <w:sz w:val="20"/>
          <w:szCs w:val="20"/>
        </w:rPr>
      </w:pPr>
      <w:r w:rsidRPr="00D902D2">
        <w:rPr>
          <w:rFonts w:eastAsia="Times New Roman" w:cstheme="minorHAnsi"/>
          <w:sz w:val="20"/>
          <w:szCs w:val="20"/>
        </w:rPr>
        <w:t xml:space="preserve">The minimum required score for the Technical Evaluation is seventy (70) points. Applicant whose proposals have not attained 70 or more points on the </w:t>
      </w:r>
      <w:r w:rsidR="005A61C8" w:rsidRPr="00D902D2">
        <w:rPr>
          <w:rFonts w:eastAsia="Times New Roman" w:cstheme="minorHAnsi"/>
          <w:sz w:val="20"/>
          <w:szCs w:val="20"/>
        </w:rPr>
        <w:t>technical</w:t>
      </w:r>
      <w:r w:rsidRPr="00D902D2">
        <w:rPr>
          <w:rFonts w:eastAsia="Times New Roman" w:cstheme="minorHAnsi"/>
          <w:sz w:val="20"/>
          <w:szCs w:val="20"/>
        </w:rPr>
        <w:t xml:space="preserve"> evaluation will be deemed non-responsive.</w:t>
      </w:r>
    </w:p>
    <w:p w14:paraId="036C8685" w14:textId="77777777" w:rsidR="00471D69" w:rsidRPr="00D902D2" w:rsidRDefault="00471D69" w:rsidP="00471D69">
      <w:pPr>
        <w:suppressAutoHyphens/>
        <w:jc w:val="both"/>
        <w:rPr>
          <w:rFonts w:eastAsia="Times New Roman" w:cstheme="minorHAnsi"/>
          <w:b/>
          <w:bCs/>
          <w:sz w:val="20"/>
          <w:szCs w:val="20"/>
          <w:u w:val="single"/>
        </w:rPr>
      </w:pPr>
      <w:r w:rsidRPr="00D902D2">
        <w:rPr>
          <w:rFonts w:eastAsia="Times New Roman" w:cstheme="minorHAnsi"/>
          <w:b/>
          <w:bCs/>
          <w:sz w:val="20"/>
          <w:szCs w:val="20"/>
          <w:u w:val="single"/>
        </w:rPr>
        <w:t xml:space="preserve">The Technical Proposal will comprise of information for the following:  </w:t>
      </w:r>
    </w:p>
    <w:p w14:paraId="7571441A" w14:textId="77777777" w:rsidR="00471D69" w:rsidRPr="00D902D2" w:rsidRDefault="00471D69"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Firm </w:t>
      </w:r>
    </w:p>
    <w:p w14:paraId="154E8499" w14:textId="77777777" w:rsidR="00471D69" w:rsidRPr="00D902D2" w:rsidRDefault="00471D69"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Team </w:t>
      </w:r>
    </w:p>
    <w:p w14:paraId="00418B79" w14:textId="77777777" w:rsidR="00471D69" w:rsidRPr="00D902D2" w:rsidRDefault="00471D69"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Investments Thesis </w:t>
      </w:r>
    </w:p>
    <w:p w14:paraId="6D9042AC" w14:textId="77777777" w:rsidR="00471D69" w:rsidRPr="00D902D2" w:rsidRDefault="00471D69"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Investment Process </w:t>
      </w:r>
    </w:p>
    <w:p w14:paraId="525AB6A6" w14:textId="77777777" w:rsidR="00471D69" w:rsidRPr="00D902D2" w:rsidRDefault="00471D69"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Pipeline </w:t>
      </w:r>
    </w:p>
    <w:p w14:paraId="7D1DD166" w14:textId="77777777" w:rsidR="00471D69" w:rsidRPr="00D902D2" w:rsidRDefault="00471D69"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Governance </w:t>
      </w:r>
    </w:p>
    <w:p w14:paraId="7BF720C0" w14:textId="4F26A06E" w:rsidR="00471D69" w:rsidRPr="00D902D2" w:rsidRDefault="00471D69"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General </w:t>
      </w:r>
    </w:p>
    <w:p w14:paraId="17E56B2A" w14:textId="43436CDA" w:rsidR="00623B3C" w:rsidRPr="00D902D2" w:rsidRDefault="00623B3C"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Fundraising status</w:t>
      </w:r>
    </w:p>
    <w:p w14:paraId="7B16F763" w14:textId="77777777" w:rsidR="00623B3C" w:rsidRPr="00D902D2" w:rsidRDefault="00623B3C" w:rsidP="006451B6">
      <w:pPr>
        <w:suppressAutoHyphens/>
        <w:spacing w:after="120" w:line="240" w:lineRule="auto"/>
        <w:ind w:left="720"/>
        <w:contextualSpacing/>
        <w:jc w:val="both"/>
        <w:rPr>
          <w:rFonts w:eastAsia="MS Gothic" w:cstheme="minorHAnsi"/>
          <w:sz w:val="20"/>
          <w:szCs w:val="20"/>
        </w:rPr>
      </w:pPr>
    </w:p>
    <w:p w14:paraId="52B058C4" w14:textId="77777777" w:rsidR="00471D69" w:rsidRPr="00D902D2" w:rsidRDefault="00471D69" w:rsidP="00471D69">
      <w:pPr>
        <w:suppressAutoHyphens/>
        <w:jc w:val="both"/>
        <w:rPr>
          <w:rFonts w:eastAsia="Times New Roman" w:cstheme="minorHAnsi"/>
          <w:b/>
          <w:bCs/>
          <w:sz w:val="20"/>
          <w:szCs w:val="20"/>
          <w:u w:val="single"/>
        </w:rPr>
      </w:pPr>
      <w:r w:rsidRPr="00D902D2">
        <w:rPr>
          <w:rFonts w:eastAsia="Times New Roman" w:cstheme="minorHAnsi"/>
          <w:b/>
          <w:bCs/>
          <w:sz w:val="20"/>
          <w:szCs w:val="20"/>
          <w:u w:val="single"/>
        </w:rPr>
        <w:t xml:space="preserve">Financials Proposal will comprise of the following: </w:t>
      </w:r>
    </w:p>
    <w:p w14:paraId="524A2A26" w14:textId="77777777" w:rsidR="00471D69" w:rsidRPr="00D902D2" w:rsidRDefault="00471D69"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Cost structure / budget </w:t>
      </w:r>
    </w:p>
    <w:p w14:paraId="023FD092" w14:textId="14C0CD36" w:rsidR="00471D69" w:rsidRPr="00D902D2" w:rsidRDefault="00471D69" w:rsidP="00625D6F">
      <w:pPr>
        <w:numPr>
          <w:ilvl w:val="0"/>
          <w:numId w:val="27"/>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Fee structure &amp; Fund sustainability </w:t>
      </w:r>
    </w:p>
    <w:p w14:paraId="2894F62A" w14:textId="77777777" w:rsidR="00471D69" w:rsidRPr="00D902D2" w:rsidRDefault="00471D69" w:rsidP="00471D69">
      <w:pPr>
        <w:suppressAutoHyphens/>
        <w:spacing w:after="0" w:line="240" w:lineRule="auto"/>
        <w:jc w:val="both"/>
        <w:rPr>
          <w:rFonts w:eastAsia="Times New Roman" w:cstheme="minorHAnsi"/>
          <w:sz w:val="20"/>
          <w:szCs w:val="20"/>
        </w:rPr>
      </w:pPr>
    </w:p>
    <w:p w14:paraId="75B476BB" w14:textId="77777777" w:rsidR="00471D69" w:rsidRPr="00D902D2" w:rsidRDefault="00471D69" w:rsidP="00471D69">
      <w:pPr>
        <w:suppressAutoHyphens/>
        <w:jc w:val="both"/>
        <w:rPr>
          <w:rFonts w:eastAsia="Times New Roman" w:cstheme="minorHAnsi"/>
          <w:sz w:val="20"/>
          <w:szCs w:val="20"/>
        </w:rPr>
      </w:pPr>
      <w:r w:rsidRPr="00D902D2">
        <w:rPr>
          <w:rFonts w:eastAsia="Times New Roman" w:cstheme="minorHAnsi"/>
          <w:sz w:val="20"/>
          <w:szCs w:val="20"/>
        </w:rPr>
        <w:t xml:space="preserve">Technical Component – (Weightings – 80 %) – see Technical Evaluation </w:t>
      </w:r>
    </w:p>
    <w:p w14:paraId="273BDD18" w14:textId="77777777" w:rsidR="00471D69" w:rsidRPr="00D902D2" w:rsidRDefault="00471D69" w:rsidP="00471D69">
      <w:pPr>
        <w:suppressAutoHyphens/>
        <w:jc w:val="both"/>
        <w:rPr>
          <w:rFonts w:eastAsia="Times New Roman" w:cstheme="minorHAnsi"/>
          <w:sz w:val="20"/>
          <w:szCs w:val="20"/>
        </w:rPr>
      </w:pPr>
      <w:r w:rsidRPr="00D902D2">
        <w:rPr>
          <w:rFonts w:eastAsia="Times New Roman" w:cstheme="minorHAnsi"/>
          <w:sz w:val="20"/>
          <w:szCs w:val="20"/>
        </w:rPr>
        <w:t xml:space="preserve">Total Financial Price - (Weighting = 20 %) </w:t>
      </w:r>
    </w:p>
    <w:p w14:paraId="3E9DB09E" w14:textId="77777777" w:rsidR="00471D69" w:rsidRPr="00D902D2" w:rsidRDefault="00471D69" w:rsidP="00471D69">
      <w:pPr>
        <w:suppressAutoHyphens/>
        <w:jc w:val="both"/>
        <w:rPr>
          <w:rFonts w:eastAsia="Times New Roman" w:cstheme="minorHAnsi"/>
          <w:sz w:val="20"/>
          <w:szCs w:val="20"/>
        </w:rPr>
      </w:pPr>
      <w:r w:rsidRPr="00D902D2">
        <w:rPr>
          <w:rFonts w:eastAsia="Times New Roman" w:cstheme="minorHAnsi"/>
          <w:sz w:val="20"/>
          <w:szCs w:val="20"/>
        </w:rPr>
        <w:t xml:space="preserve">The lowest applicant price is assigned the full 20 points.  The points for each subsequent proposal under consideration are calculated using the following format: </w:t>
      </w:r>
    </w:p>
    <w:p w14:paraId="428D8181" w14:textId="77777777" w:rsidR="00471D69" w:rsidRPr="00D16CFA" w:rsidRDefault="00471D69" w:rsidP="00471D69">
      <w:pPr>
        <w:suppressAutoHyphens/>
        <w:jc w:val="both"/>
        <w:rPr>
          <w:rFonts w:eastAsia="Times New Roman" w:cstheme="minorHAnsi"/>
          <w:sz w:val="20"/>
          <w:szCs w:val="20"/>
        </w:rPr>
      </w:pPr>
      <w:r w:rsidRPr="00D16CFA">
        <w:rPr>
          <w:rFonts w:eastAsia="Times New Roman" w:cstheme="minorHAnsi"/>
          <w:sz w:val="20"/>
          <w:szCs w:val="20"/>
        </w:rPr>
        <w:t xml:space="preserve">FORMULA:     Lowest Applicant Price x 20   = P </w:t>
      </w:r>
    </w:p>
    <w:p w14:paraId="49ADFF1D" w14:textId="77777777" w:rsidR="00471D69" w:rsidRPr="00D16CFA" w:rsidRDefault="00471D69" w:rsidP="00471D69">
      <w:pPr>
        <w:suppressAutoHyphens/>
        <w:jc w:val="both"/>
        <w:rPr>
          <w:rFonts w:eastAsia="Times New Roman" w:cstheme="minorHAnsi"/>
          <w:sz w:val="20"/>
          <w:szCs w:val="20"/>
        </w:rPr>
      </w:pPr>
      <w:r w:rsidRPr="00D16CFA">
        <w:rPr>
          <w:rFonts w:eastAsia="Times New Roman" w:cstheme="minorHAnsi"/>
          <w:sz w:val="20"/>
          <w:szCs w:val="20"/>
        </w:rPr>
        <w:t xml:space="preserve">                        </w:t>
      </w:r>
      <w:proofErr w:type="gramStart"/>
      <w:r w:rsidRPr="00D16CFA">
        <w:rPr>
          <w:rFonts w:eastAsia="Times New Roman" w:cstheme="minorHAnsi"/>
          <w:sz w:val="20"/>
          <w:szCs w:val="20"/>
        </w:rPr>
        <w:t>Other</w:t>
      </w:r>
      <w:proofErr w:type="gramEnd"/>
      <w:r w:rsidRPr="00D16CFA">
        <w:rPr>
          <w:rFonts w:eastAsia="Times New Roman" w:cstheme="minorHAnsi"/>
          <w:sz w:val="20"/>
          <w:szCs w:val="20"/>
        </w:rPr>
        <w:t xml:space="preserve"> Applicant Price      x 100 </w:t>
      </w:r>
    </w:p>
    <w:p w14:paraId="000F660B" w14:textId="2B24D21B" w:rsidR="00471D69" w:rsidRPr="00D902D2" w:rsidRDefault="00471D69" w:rsidP="00D902D2">
      <w:pPr>
        <w:suppressAutoHyphens/>
        <w:spacing w:after="0" w:line="240" w:lineRule="auto"/>
        <w:jc w:val="both"/>
        <w:rPr>
          <w:rFonts w:eastAsia="Times New Roman" w:cstheme="minorHAnsi"/>
          <w:sz w:val="20"/>
          <w:szCs w:val="20"/>
        </w:rPr>
      </w:pPr>
      <w:r w:rsidRPr="00D16CFA">
        <w:rPr>
          <w:rFonts w:eastAsia="Times New Roman" w:cstheme="minorHAnsi"/>
          <w:sz w:val="20"/>
          <w:szCs w:val="20"/>
        </w:rPr>
        <w:t xml:space="preserve">The maximum available points </w:t>
      </w:r>
      <w:proofErr w:type="gramStart"/>
      <w:r w:rsidRPr="00D16CFA">
        <w:rPr>
          <w:rFonts w:eastAsia="Times New Roman" w:cstheme="minorHAnsi"/>
          <w:sz w:val="20"/>
          <w:szCs w:val="20"/>
        </w:rPr>
        <w:t>is</w:t>
      </w:r>
      <w:proofErr w:type="gramEnd"/>
      <w:r w:rsidRPr="00D16CFA">
        <w:rPr>
          <w:rFonts w:eastAsia="Times New Roman" w:cstheme="minorHAnsi"/>
          <w:sz w:val="20"/>
          <w:szCs w:val="20"/>
        </w:rPr>
        <w:t xml:space="preserve"> 100.</w:t>
      </w:r>
      <w:r w:rsidRPr="00D902D2">
        <w:rPr>
          <w:rFonts w:eastAsia="Times New Roman" w:cstheme="minorHAnsi"/>
          <w:sz w:val="20"/>
          <w:szCs w:val="20"/>
        </w:rPr>
        <w:t xml:space="preserve"> </w:t>
      </w:r>
    </w:p>
    <w:p w14:paraId="12178D93" w14:textId="3103F65F" w:rsidR="00471D69" w:rsidRPr="00D902D2" w:rsidRDefault="00471D69" w:rsidP="00471D69">
      <w:pPr>
        <w:keepNext/>
        <w:spacing w:before="240" w:after="60"/>
        <w:jc w:val="center"/>
        <w:outlineLvl w:val="0"/>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t>Technical Evaluation Matrix</w:t>
      </w:r>
    </w:p>
    <w:p w14:paraId="2C9EFDB2" w14:textId="77777777" w:rsidR="00471D69" w:rsidRPr="00D902D2" w:rsidRDefault="00471D69" w:rsidP="00625D6F">
      <w:pPr>
        <w:keepNext/>
        <w:numPr>
          <w:ilvl w:val="0"/>
          <w:numId w:val="28"/>
        </w:numPr>
        <w:suppressAutoHyphens/>
        <w:spacing w:before="240" w:after="60" w:line="240" w:lineRule="auto"/>
        <w:jc w:val="both"/>
        <w:outlineLvl w:val="0"/>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t>Preliminary Screening of Fund Manager Application Form</w:t>
      </w:r>
    </w:p>
    <w:tbl>
      <w:tblPr>
        <w:tblW w:w="9629" w:type="dxa"/>
        <w:jc w:val="center"/>
        <w:tblLook w:val="04A0" w:firstRow="1" w:lastRow="0" w:firstColumn="1" w:lastColumn="0" w:noHBand="0" w:noVBand="1"/>
      </w:tblPr>
      <w:tblGrid>
        <w:gridCol w:w="4952"/>
        <w:gridCol w:w="1275"/>
        <w:gridCol w:w="993"/>
        <w:gridCol w:w="1275"/>
        <w:gridCol w:w="1134"/>
      </w:tblGrid>
      <w:tr w:rsidR="00471D69" w:rsidRPr="00471D69" w14:paraId="6B2725BA" w14:textId="77777777" w:rsidTr="00471D69">
        <w:trPr>
          <w:trHeight w:val="312"/>
          <w:jc w:val="center"/>
        </w:trPr>
        <w:tc>
          <w:tcPr>
            <w:tcW w:w="4952" w:type="dxa"/>
            <w:vMerge w:val="restart"/>
            <w:tcBorders>
              <w:top w:val="single" w:sz="8" w:space="0" w:color="auto"/>
              <w:left w:val="single" w:sz="8" w:space="0" w:color="auto"/>
              <w:bottom w:val="single" w:sz="8" w:space="0" w:color="auto"/>
              <w:right w:val="single" w:sz="8" w:space="0" w:color="auto"/>
            </w:tcBorders>
            <w:shd w:val="clear" w:color="000000" w:fill="1F497D"/>
            <w:vAlign w:val="center"/>
            <w:hideMark/>
          </w:tcPr>
          <w:p w14:paraId="6A775F77" w14:textId="77777777" w:rsidR="00471D69" w:rsidRPr="00471D69" w:rsidRDefault="00471D69" w:rsidP="00471D69">
            <w:pPr>
              <w:spacing w:after="0" w:line="240" w:lineRule="auto"/>
              <w:jc w:val="both"/>
              <w:rPr>
                <w:rFonts w:eastAsia="Times New Roman" w:cstheme="minorHAnsi"/>
                <w:color w:val="FFC000"/>
                <w:lang w:val="en-JM" w:eastAsia="en-JM"/>
              </w:rPr>
            </w:pPr>
            <w:r w:rsidRPr="00471D69">
              <w:rPr>
                <w:rFonts w:eastAsia="Times New Roman" w:cstheme="minorHAnsi"/>
                <w:color w:val="FFC000"/>
                <w:lang w:val="en-JM" w:eastAsia="en-JM"/>
              </w:rPr>
              <w:t>Preliminary Screening Checklist, the following information must be submitted to pass this stage of the process.</w:t>
            </w:r>
          </w:p>
        </w:tc>
        <w:tc>
          <w:tcPr>
            <w:tcW w:w="1275" w:type="dxa"/>
            <w:tcBorders>
              <w:top w:val="single" w:sz="8" w:space="0" w:color="auto"/>
              <w:left w:val="single" w:sz="8" w:space="0" w:color="auto"/>
              <w:bottom w:val="single" w:sz="8" w:space="0" w:color="auto"/>
              <w:right w:val="single" w:sz="8" w:space="0" w:color="auto"/>
            </w:tcBorders>
            <w:shd w:val="clear" w:color="000000" w:fill="1F497D"/>
          </w:tcPr>
          <w:p w14:paraId="00965537" w14:textId="77777777" w:rsidR="00471D69" w:rsidRPr="00471D69" w:rsidRDefault="00471D69" w:rsidP="00471D69">
            <w:pPr>
              <w:spacing w:after="0" w:line="240" w:lineRule="auto"/>
              <w:jc w:val="center"/>
              <w:rPr>
                <w:rFonts w:eastAsia="Times New Roman" w:cstheme="minorHAnsi"/>
                <w:color w:val="FFC000"/>
                <w:lang w:val="en-JM" w:eastAsia="en-JM"/>
              </w:rPr>
            </w:pPr>
          </w:p>
        </w:tc>
        <w:tc>
          <w:tcPr>
            <w:tcW w:w="3402" w:type="dxa"/>
            <w:gridSpan w:val="3"/>
            <w:tcBorders>
              <w:top w:val="single" w:sz="8" w:space="0" w:color="auto"/>
              <w:left w:val="single" w:sz="8" w:space="0" w:color="auto"/>
              <w:bottom w:val="single" w:sz="8" w:space="0" w:color="auto"/>
              <w:right w:val="single" w:sz="8" w:space="0" w:color="auto"/>
            </w:tcBorders>
            <w:shd w:val="clear" w:color="000000" w:fill="1F497D"/>
          </w:tcPr>
          <w:p w14:paraId="224FD18F" w14:textId="4A9D0B6A" w:rsidR="00471D69" w:rsidRPr="00471D69" w:rsidRDefault="00471D69" w:rsidP="00471D69">
            <w:pPr>
              <w:spacing w:after="0" w:line="240" w:lineRule="auto"/>
              <w:jc w:val="center"/>
              <w:rPr>
                <w:rFonts w:eastAsia="Times New Roman" w:cstheme="minorHAnsi"/>
                <w:color w:val="FFC000"/>
                <w:lang w:val="en-JM" w:eastAsia="en-JM"/>
              </w:rPr>
            </w:pPr>
            <w:r w:rsidRPr="00471D69">
              <w:rPr>
                <w:rFonts w:eastAsia="Times New Roman" w:cstheme="minorHAnsi"/>
                <w:color w:val="FFC000"/>
                <w:lang w:val="en-JM" w:eastAsia="en-JM"/>
              </w:rPr>
              <w:t>Applicant</w:t>
            </w:r>
            <w:r w:rsidR="005A61C8">
              <w:rPr>
                <w:rFonts w:eastAsia="Times New Roman" w:cstheme="minorHAnsi"/>
                <w:color w:val="FFC000"/>
                <w:lang w:val="en-JM" w:eastAsia="en-JM"/>
              </w:rPr>
              <w:t>’</w:t>
            </w:r>
            <w:r w:rsidRPr="00471D69">
              <w:rPr>
                <w:rFonts w:eastAsia="Times New Roman" w:cstheme="minorHAnsi"/>
                <w:color w:val="FFC000"/>
                <w:lang w:val="en-JM" w:eastAsia="en-JM"/>
              </w:rPr>
              <w:t xml:space="preserve">s Fund Information </w:t>
            </w:r>
          </w:p>
        </w:tc>
      </w:tr>
      <w:tr w:rsidR="00471D69" w:rsidRPr="00471D69" w14:paraId="72D74024" w14:textId="77777777" w:rsidTr="00471D69">
        <w:trPr>
          <w:trHeight w:val="1005"/>
          <w:jc w:val="center"/>
        </w:trPr>
        <w:tc>
          <w:tcPr>
            <w:tcW w:w="4952" w:type="dxa"/>
            <w:vMerge/>
            <w:tcBorders>
              <w:top w:val="single" w:sz="8" w:space="0" w:color="auto"/>
              <w:left w:val="single" w:sz="8" w:space="0" w:color="auto"/>
              <w:bottom w:val="single" w:sz="8" w:space="0" w:color="auto"/>
              <w:right w:val="single" w:sz="8" w:space="0" w:color="auto"/>
            </w:tcBorders>
            <w:shd w:val="clear" w:color="000000" w:fill="C5D9F1"/>
            <w:vAlign w:val="center"/>
          </w:tcPr>
          <w:p w14:paraId="57DF408D" w14:textId="77777777" w:rsidR="00471D69" w:rsidRPr="00471D69" w:rsidRDefault="00471D69" w:rsidP="00471D69">
            <w:pPr>
              <w:spacing w:after="0" w:line="240" w:lineRule="auto"/>
              <w:jc w:val="center"/>
              <w:rPr>
                <w:rFonts w:eastAsia="Times New Roman" w:cstheme="minorHAnsi"/>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2ABC39B7" w14:textId="77777777" w:rsidR="00471D69" w:rsidRPr="00471D69" w:rsidRDefault="00471D69" w:rsidP="00471D69">
            <w:pPr>
              <w:spacing w:after="0" w:line="240" w:lineRule="auto"/>
              <w:jc w:val="center"/>
              <w:rPr>
                <w:rFonts w:eastAsia="Times New Roman" w:cstheme="minorHAnsi"/>
                <w:color w:val="FF0000"/>
                <w:lang w:val="en-JM" w:eastAsia="en-JM"/>
              </w:rPr>
            </w:pPr>
          </w:p>
          <w:p w14:paraId="11FEE8D1" w14:textId="77777777" w:rsidR="00471D69" w:rsidRPr="00471D69" w:rsidRDefault="00471D69" w:rsidP="00471D69">
            <w:pPr>
              <w:spacing w:after="0" w:line="240" w:lineRule="auto"/>
              <w:jc w:val="center"/>
              <w:rPr>
                <w:rFonts w:eastAsia="Times New Roman" w:cstheme="minorHAnsi"/>
                <w:color w:val="FF0000"/>
                <w:lang w:val="en-JM" w:eastAsia="en-JM"/>
              </w:rPr>
            </w:pPr>
          </w:p>
          <w:p w14:paraId="7B364A67" w14:textId="77777777" w:rsidR="00471D69" w:rsidRPr="00471D69" w:rsidRDefault="00471D69" w:rsidP="00471D69">
            <w:pPr>
              <w:spacing w:after="0" w:line="240" w:lineRule="auto"/>
              <w:jc w:val="center"/>
              <w:rPr>
                <w:rFonts w:eastAsia="Times New Roman" w:cstheme="minorHAnsi"/>
                <w:color w:val="FF0000"/>
                <w:lang w:val="en-JM" w:eastAsia="en-JM"/>
              </w:rPr>
            </w:pPr>
            <w:r w:rsidRPr="00471D69">
              <w:rPr>
                <w:rFonts w:eastAsia="Times New Roman" w:cstheme="minorHAnsi"/>
                <w:color w:val="FF0000"/>
                <w:lang w:val="en-JM" w:eastAsia="en-JM"/>
              </w:rPr>
              <w:t xml:space="preserve">Status &amp; Remarks </w:t>
            </w: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6CD13F43" w14:textId="77777777" w:rsidR="00471D69" w:rsidRPr="00471D69" w:rsidRDefault="00471D69" w:rsidP="00471D69">
            <w:pPr>
              <w:spacing w:after="0" w:line="240" w:lineRule="auto"/>
              <w:jc w:val="center"/>
              <w:rPr>
                <w:rFonts w:eastAsia="Times New Roman" w:cstheme="minorHAnsi"/>
                <w:color w:val="FF0000"/>
                <w:lang w:val="en-JM" w:eastAsia="en-JM"/>
              </w:rPr>
            </w:pPr>
          </w:p>
          <w:p w14:paraId="3274D245" w14:textId="77777777" w:rsidR="00471D69" w:rsidRPr="00471D69" w:rsidRDefault="00471D69" w:rsidP="00471D69">
            <w:pPr>
              <w:spacing w:after="0" w:line="240" w:lineRule="auto"/>
              <w:jc w:val="center"/>
              <w:rPr>
                <w:rFonts w:eastAsia="Times New Roman" w:cstheme="minorHAnsi"/>
                <w:color w:val="FF0000"/>
                <w:lang w:val="en-JM" w:eastAsia="en-JM"/>
              </w:rPr>
            </w:pPr>
            <w:r w:rsidRPr="00471D69">
              <w:rPr>
                <w:rFonts w:eastAsia="Times New Roman" w:cstheme="minorHAnsi"/>
                <w:color w:val="FF0000"/>
                <w:lang w:val="en-JM" w:eastAsia="en-JM"/>
              </w:rPr>
              <w:t>1</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46B36E51" w14:textId="77777777" w:rsidR="00471D69" w:rsidRPr="00471D69" w:rsidRDefault="00471D69" w:rsidP="00471D69">
            <w:pPr>
              <w:spacing w:after="0" w:line="240" w:lineRule="auto"/>
              <w:jc w:val="center"/>
              <w:rPr>
                <w:rFonts w:eastAsia="Times New Roman" w:cstheme="minorHAnsi"/>
                <w:color w:val="FF0000"/>
                <w:lang w:val="en-JM" w:eastAsia="en-JM"/>
              </w:rPr>
            </w:pPr>
          </w:p>
          <w:p w14:paraId="6C9BFDAD" w14:textId="77777777" w:rsidR="00471D69" w:rsidRPr="00471D69" w:rsidRDefault="00471D69" w:rsidP="00471D69">
            <w:pPr>
              <w:spacing w:after="0" w:line="240" w:lineRule="auto"/>
              <w:jc w:val="center"/>
              <w:rPr>
                <w:rFonts w:eastAsia="Times New Roman" w:cstheme="minorHAnsi"/>
                <w:color w:val="FF0000"/>
                <w:lang w:val="en-JM" w:eastAsia="en-JM"/>
              </w:rPr>
            </w:pPr>
            <w:r w:rsidRPr="00471D69">
              <w:rPr>
                <w:rFonts w:eastAsia="Times New Roman" w:cstheme="minorHAnsi"/>
                <w:color w:val="FF0000"/>
                <w:lang w:val="en-JM" w:eastAsia="en-JM"/>
              </w:rPr>
              <w:t>2</w:t>
            </w: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tcPr>
          <w:p w14:paraId="375FD766" w14:textId="77777777" w:rsidR="00471D69" w:rsidRPr="00471D69" w:rsidRDefault="00471D69" w:rsidP="00471D69">
            <w:pPr>
              <w:spacing w:after="0" w:line="240" w:lineRule="auto"/>
              <w:jc w:val="center"/>
              <w:rPr>
                <w:rFonts w:eastAsia="Times New Roman" w:cstheme="minorHAnsi"/>
                <w:color w:val="FF0000"/>
                <w:lang w:val="en-JM" w:eastAsia="en-JM"/>
              </w:rPr>
            </w:pPr>
            <w:r w:rsidRPr="00471D69">
              <w:rPr>
                <w:rFonts w:eastAsia="Times New Roman" w:cstheme="minorHAnsi"/>
                <w:color w:val="FF0000"/>
                <w:lang w:val="en-JM" w:eastAsia="en-JM"/>
              </w:rPr>
              <w:t>3</w:t>
            </w:r>
          </w:p>
        </w:tc>
      </w:tr>
      <w:tr w:rsidR="00471D69" w:rsidRPr="00471D69" w14:paraId="32167C06" w14:textId="77777777" w:rsidTr="00471D69">
        <w:trPr>
          <w:trHeight w:val="312"/>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46C487FC"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1. Fund Information:</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7CA19F64" w14:textId="77777777" w:rsidR="00471D69" w:rsidRPr="00D902D2" w:rsidRDefault="00471D69" w:rsidP="00471D69">
            <w:pPr>
              <w:spacing w:after="0" w:line="240" w:lineRule="auto"/>
              <w:rPr>
                <w:rFonts w:eastAsia="Times New Roman" w:cstheme="minorHAnsi"/>
                <w:color w:val="FF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5F6CBF27" w14:textId="77777777" w:rsidR="00471D69" w:rsidRPr="00D902D2" w:rsidRDefault="00471D69" w:rsidP="00471D69">
            <w:pPr>
              <w:spacing w:after="0" w:line="240" w:lineRule="auto"/>
              <w:rPr>
                <w:rFonts w:eastAsia="Times New Roman" w:cstheme="minorHAnsi"/>
                <w:color w:val="FF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69EE36DF" w14:textId="77777777" w:rsidR="00471D69" w:rsidRPr="00D902D2" w:rsidRDefault="00471D69" w:rsidP="00471D69">
            <w:pPr>
              <w:spacing w:after="0" w:line="240" w:lineRule="auto"/>
              <w:rPr>
                <w:rFonts w:eastAsia="Times New Roman" w:cstheme="minorHAnsi"/>
                <w:color w:val="FF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tcPr>
          <w:p w14:paraId="72BC04F1" w14:textId="77777777" w:rsidR="00471D69" w:rsidRPr="00471D69" w:rsidRDefault="00471D69" w:rsidP="00471D69">
            <w:pPr>
              <w:spacing w:after="0" w:line="240" w:lineRule="auto"/>
              <w:rPr>
                <w:rFonts w:eastAsia="Times New Roman" w:cstheme="minorHAnsi"/>
                <w:color w:val="FF0000"/>
                <w:lang w:val="en-JM" w:eastAsia="en-JM"/>
              </w:rPr>
            </w:pPr>
          </w:p>
        </w:tc>
      </w:tr>
      <w:tr w:rsidR="00471D69" w:rsidRPr="00471D69" w14:paraId="34E41419" w14:textId="77777777" w:rsidTr="00471D69">
        <w:trPr>
          <w:trHeight w:val="789"/>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A0D05E"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Name of the Management Company;</w:t>
            </w:r>
          </w:p>
        </w:tc>
        <w:tc>
          <w:tcPr>
            <w:tcW w:w="1275" w:type="dxa"/>
            <w:tcBorders>
              <w:top w:val="single" w:sz="8" w:space="0" w:color="auto"/>
              <w:left w:val="single" w:sz="8" w:space="0" w:color="auto"/>
              <w:bottom w:val="single" w:sz="8" w:space="0" w:color="auto"/>
              <w:right w:val="single" w:sz="8" w:space="0" w:color="auto"/>
            </w:tcBorders>
          </w:tcPr>
          <w:p w14:paraId="6B6665FC"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2636B7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4B1E4B8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448D0D"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04263147" w14:textId="77777777" w:rsidTr="00471D69">
        <w:trPr>
          <w:trHeight w:val="621"/>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E3DDE6"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Name of the Administration Company;</w:t>
            </w:r>
          </w:p>
        </w:tc>
        <w:tc>
          <w:tcPr>
            <w:tcW w:w="1275" w:type="dxa"/>
            <w:tcBorders>
              <w:top w:val="single" w:sz="8" w:space="0" w:color="auto"/>
              <w:left w:val="single" w:sz="8" w:space="0" w:color="auto"/>
              <w:bottom w:val="single" w:sz="8" w:space="0" w:color="auto"/>
              <w:right w:val="single" w:sz="8" w:space="0" w:color="auto"/>
            </w:tcBorders>
          </w:tcPr>
          <w:p w14:paraId="3CC479BA"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87E9EC0"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0C9CFED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98F2A"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3A087354" w14:textId="77777777" w:rsidTr="00471D69">
        <w:trPr>
          <w:trHeight w:val="69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3D1D60"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Name of the person(s) responsible for the management and administration of the Fund;</w:t>
            </w:r>
          </w:p>
        </w:tc>
        <w:tc>
          <w:tcPr>
            <w:tcW w:w="1275" w:type="dxa"/>
            <w:tcBorders>
              <w:top w:val="single" w:sz="8" w:space="0" w:color="auto"/>
              <w:left w:val="single" w:sz="8" w:space="0" w:color="auto"/>
              <w:bottom w:val="single" w:sz="8" w:space="0" w:color="auto"/>
              <w:right w:val="single" w:sz="8" w:space="0" w:color="auto"/>
            </w:tcBorders>
          </w:tcPr>
          <w:p w14:paraId="6B9CC8A2"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78C9EA1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7527065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C2806"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24FF3CEB" w14:textId="77777777" w:rsidTr="00471D69">
        <w:trPr>
          <w:trHeight w:val="531"/>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3D2ECF"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lastRenderedPageBreak/>
              <w:t>Legal Structure (Corporation, Partnership, Trust, etc).</w:t>
            </w:r>
          </w:p>
        </w:tc>
        <w:tc>
          <w:tcPr>
            <w:tcW w:w="1275" w:type="dxa"/>
            <w:tcBorders>
              <w:top w:val="single" w:sz="8" w:space="0" w:color="auto"/>
              <w:left w:val="single" w:sz="8" w:space="0" w:color="auto"/>
              <w:bottom w:val="single" w:sz="8" w:space="0" w:color="auto"/>
              <w:right w:val="single" w:sz="8" w:space="0" w:color="auto"/>
            </w:tcBorders>
          </w:tcPr>
          <w:p w14:paraId="5339BE79"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694D0AC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4BA3B143"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D434E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002DCEBF" w14:textId="77777777" w:rsidTr="00471D69">
        <w:trPr>
          <w:trHeight w:val="429"/>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6ED0CE86"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2. Fund Strategy:</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5B8FCBA3"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368407DA"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022E15A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3D01913E"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470D7855" w14:textId="77777777" w:rsidTr="00471D69">
        <w:trPr>
          <w:trHeight w:val="766"/>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6129FC" w14:textId="62260854"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Objective:   target company sector; local, regional</w:t>
            </w:r>
            <w:r w:rsidR="00C413B2">
              <w:rPr>
                <w:rFonts w:eastAsia="Times New Roman" w:cstheme="minorHAnsi"/>
                <w:color w:val="000000"/>
                <w:sz w:val="20"/>
                <w:szCs w:val="20"/>
                <w:lang w:val="en-JM" w:eastAsia="en-JM"/>
              </w:rPr>
              <w:t>,</w:t>
            </w:r>
            <w:r w:rsidRPr="00D902D2">
              <w:rPr>
                <w:rFonts w:eastAsia="Times New Roman" w:cstheme="minorHAnsi"/>
                <w:color w:val="000000"/>
                <w:sz w:val="20"/>
                <w:szCs w:val="20"/>
                <w:lang w:val="en-JM" w:eastAsia="en-JM"/>
              </w:rPr>
              <w:t xml:space="preserve"> or international</w:t>
            </w:r>
          </w:p>
        </w:tc>
        <w:tc>
          <w:tcPr>
            <w:tcW w:w="1275" w:type="dxa"/>
            <w:tcBorders>
              <w:top w:val="single" w:sz="8" w:space="0" w:color="auto"/>
              <w:left w:val="single" w:sz="8" w:space="0" w:color="auto"/>
              <w:bottom w:val="single" w:sz="8" w:space="0" w:color="auto"/>
              <w:right w:val="single" w:sz="8" w:space="0" w:color="auto"/>
            </w:tcBorders>
          </w:tcPr>
          <w:p w14:paraId="42949605"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94C0E3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55CA29FF"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BA098E"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7A5AFDE1" w14:textId="77777777" w:rsidTr="00471D69">
        <w:trPr>
          <w:trHeight w:val="624"/>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CE365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Proposed maximum and minimum investment of the Fund by sector;</w:t>
            </w:r>
          </w:p>
        </w:tc>
        <w:tc>
          <w:tcPr>
            <w:tcW w:w="1275" w:type="dxa"/>
            <w:tcBorders>
              <w:top w:val="single" w:sz="8" w:space="0" w:color="auto"/>
              <w:left w:val="single" w:sz="8" w:space="0" w:color="auto"/>
              <w:bottom w:val="single" w:sz="8" w:space="0" w:color="auto"/>
              <w:right w:val="single" w:sz="8" w:space="0" w:color="auto"/>
            </w:tcBorders>
          </w:tcPr>
          <w:p w14:paraId="04084D54"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4D8B4431"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72C3D9E0"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A4A8D"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21206276" w14:textId="77777777" w:rsidTr="00471D69">
        <w:trPr>
          <w:trHeight w:val="93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CA87D8"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Maximum and minimum investment of the Fund in (single) Investee Company;</w:t>
            </w:r>
          </w:p>
        </w:tc>
        <w:tc>
          <w:tcPr>
            <w:tcW w:w="1275" w:type="dxa"/>
            <w:tcBorders>
              <w:top w:val="single" w:sz="8" w:space="0" w:color="auto"/>
              <w:left w:val="single" w:sz="8" w:space="0" w:color="auto"/>
              <w:bottom w:val="single" w:sz="8" w:space="0" w:color="auto"/>
              <w:right w:val="single" w:sz="8" w:space="0" w:color="auto"/>
            </w:tcBorders>
          </w:tcPr>
          <w:p w14:paraId="67CA1A8B"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4F6945B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14A4B462"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A8D5D7"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294101B" w14:textId="77777777" w:rsidTr="00471D69">
        <w:trPr>
          <w:trHeight w:val="579"/>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6E1C09"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Number of Investee Companies to be targeted</w:t>
            </w:r>
          </w:p>
        </w:tc>
        <w:tc>
          <w:tcPr>
            <w:tcW w:w="1275" w:type="dxa"/>
            <w:tcBorders>
              <w:top w:val="single" w:sz="8" w:space="0" w:color="auto"/>
              <w:left w:val="single" w:sz="8" w:space="0" w:color="auto"/>
              <w:bottom w:val="single" w:sz="8" w:space="0" w:color="auto"/>
              <w:right w:val="single" w:sz="8" w:space="0" w:color="auto"/>
            </w:tcBorders>
          </w:tcPr>
          <w:p w14:paraId="053676F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157D9DCC"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0F1B4EF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B10185"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6E7C3DBF" w14:textId="77777777" w:rsidTr="00471D69">
        <w:trPr>
          <w:trHeight w:val="99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A858B"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Participation of the Fund in Investee Companies (majority/minority stakes);</w:t>
            </w:r>
          </w:p>
        </w:tc>
        <w:tc>
          <w:tcPr>
            <w:tcW w:w="1275" w:type="dxa"/>
            <w:tcBorders>
              <w:top w:val="single" w:sz="8" w:space="0" w:color="auto"/>
              <w:left w:val="single" w:sz="8" w:space="0" w:color="auto"/>
              <w:bottom w:val="single" w:sz="8" w:space="0" w:color="auto"/>
              <w:right w:val="single" w:sz="8" w:space="0" w:color="auto"/>
            </w:tcBorders>
          </w:tcPr>
          <w:p w14:paraId="4122060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14D2C6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18AD55A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C4A53"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57E7007" w14:textId="77777777" w:rsidTr="00471D69">
        <w:trPr>
          <w:trHeight w:val="1041"/>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59C24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Size (by assets) of the Investee Companies, at the time of investment.</w:t>
            </w:r>
          </w:p>
        </w:tc>
        <w:tc>
          <w:tcPr>
            <w:tcW w:w="1275" w:type="dxa"/>
            <w:tcBorders>
              <w:top w:val="single" w:sz="8" w:space="0" w:color="auto"/>
              <w:left w:val="single" w:sz="8" w:space="0" w:color="auto"/>
              <w:bottom w:val="single" w:sz="8" w:space="0" w:color="auto"/>
              <w:right w:val="single" w:sz="8" w:space="0" w:color="auto"/>
            </w:tcBorders>
          </w:tcPr>
          <w:p w14:paraId="217FA578"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38FBA77D"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955376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3B782F"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364C4088" w14:textId="77777777" w:rsidTr="00471D69">
        <w:trPr>
          <w:trHeight w:val="312"/>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2E9C84ED"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3. Fund Management</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45A43D68"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48D4994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1F09BC46"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53887DBB"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285A7298" w14:textId="77777777" w:rsidTr="00471D69">
        <w:trPr>
          <w:trHeight w:val="549"/>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5473D4"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Duration of the Fund;</w:t>
            </w:r>
          </w:p>
        </w:tc>
        <w:tc>
          <w:tcPr>
            <w:tcW w:w="1275" w:type="dxa"/>
            <w:tcBorders>
              <w:top w:val="single" w:sz="8" w:space="0" w:color="auto"/>
              <w:left w:val="single" w:sz="8" w:space="0" w:color="auto"/>
              <w:bottom w:val="single" w:sz="8" w:space="0" w:color="auto"/>
              <w:right w:val="single" w:sz="8" w:space="0" w:color="auto"/>
            </w:tcBorders>
          </w:tcPr>
          <w:p w14:paraId="10EC5E5D"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6ECE12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5886D7C1"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FFC9A"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69412E32" w14:textId="77777777" w:rsidTr="00471D69">
        <w:trPr>
          <w:trHeight w:val="681"/>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EAF21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Period of investment and divestment;</w:t>
            </w:r>
          </w:p>
        </w:tc>
        <w:tc>
          <w:tcPr>
            <w:tcW w:w="1275" w:type="dxa"/>
            <w:tcBorders>
              <w:top w:val="single" w:sz="8" w:space="0" w:color="auto"/>
              <w:left w:val="single" w:sz="8" w:space="0" w:color="auto"/>
              <w:bottom w:val="single" w:sz="8" w:space="0" w:color="auto"/>
              <w:right w:val="single" w:sz="8" w:space="0" w:color="auto"/>
            </w:tcBorders>
          </w:tcPr>
          <w:p w14:paraId="4056DB30"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F23910F"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7280D75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D3391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26F62A2F" w14:textId="77777777" w:rsidTr="00471D69">
        <w:trPr>
          <w:trHeight w:val="69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961906"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Target minimum and maximum size of the Fund;</w:t>
            </w:r>
          </w:p>
        </w:tc>
        <w:tc>
          <w:tcPr>
            <w:tcW w:w="1275" w:type="dxa"/>
            <w:tcBorders>
              <w:top w:val="single" w:sz="8" w:space="0" w:color="auto"/>
              <w:left w:val="single" w:sz="8" w:space="0" w:color="auto"/>
              <w:bottom w:val="single" w:sz="8" w:space="0" w:color="auto"/>
              <w:right w:val="single" w:sz="8" w:space="0" w:color="auto"/>
            </w:tcBorders>
          </w:tcPr>
          <w:p w14:paraId="0D4A9B07"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022A169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3B1576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73CFC2"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7B23BD8C" w14:textId="77777777" w:rsidTr="00471D69">
        <w:trPr>
          <w:trHeight w:val="639"/>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D0558"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Administration and performance fees;</w:t>
            </w:r>
          </w:p>
        </w:tc>
        <w:tc>
          <w:tcPr>
            <w:tcW w:w="1275" w:type="dxa"/>
            <w:tcBorders>
              <w:top w:val="single" w:sz="8" w:space="0" w:color="auto"/>
              <w:left w:val="single" w:sz="8" w:space="0" w:color="auto"/>
              <w:bottom w:val="single" w:sz="8" w:space="0" w:color="auto"/>
              <w:right w:val="single" w:sz="8" w:space="0" w:color="auto"/>
            </w:tcBorders>
          </w:tcPr>
          <w:p w14:paraId="0A82EA9F"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B6F8D9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61977354"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30546E"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BDCBA68" w14:textId="77777777" w:rsidTr="00471D69">
        <w:trPr>
          <w:trHeight w:val="87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BAFE7"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Fund raising target, along with the Panel and other investors;</w:t>
            </w:r>
          </w:p>
        </w:tc>
        <w:tc>
          <w:tcPr>
            <w:tcW w:w="1275" w:type="dxa"/>
            <w:tcBorders>
              <w:top w:val="single" w:sz="8" w:space="0" w:color="auto"/>
              <w:left w:val="single" w:sz="8" w:space="0" w:color="auto"/>
              <w:bottom w:val="single" w:sz="8" w:space="0" w:color="auto"/>
              <w:right w:val="single" w:sz="8" w:space="0" w:color="auto"/>
            </w:tcBorders>
          </w:tcPr>
          <w:p w14:paraId="1807F72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04A0680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18C3D9D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88EC44"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501AD2BE" w14:textId="77777777" w:rsidTr="00471D69">
        <w:trPr>
          <w:trHeight w:val="63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7E91E"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Stage of fund raising of the Fund;</w:t>
            </w:r>
          </w:p>
        </w:tc>
        <w:tc>
          <w:tcPr>
            <w:tcW w:w="1275" w:type="dxa"/>
            <w:tcBorders>
              <w:top w:val="single" w:sz="8" w:space="0" w:color="auto"/>
              <w:left w:val="single" w:sz="8" w:space="0" w:color="auto"/>
              <w:bottom w:val="single" w:sz="8" w:space="0" w:color="auto"/>
              <w:right w:val="single" w:sz="8" w:space="0" w:color="auto"/>
            </w:tcBorders>
          </w:tcPr>
          <w:p w14:paraId="44E70CB9"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6EDFF38A"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08EE946"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7EAE3"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6DD2DDCB" w14:textId="77777777" w:rsidTr="00471D69">
        <w:trPr>
          <w:trHeight w:val="915"/>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13996B"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Commitment of capital of the management company of the Fund.</w:t>
            </w:r>
          </w:p>
        </w:tc>
        <w:tc>
          <w:tcPr>
            <w:tcW w:w="1275" w:type="dxa"/>
            <w:tcBorders>
              <w:top w:val="single" w:sz="8" w:space="0" w:color="auto"/>
              <w:left w:val="single" w:sz="8" w:space="0" w:color="auto"/>
              <w:bottom w:val="single" w:sz="8" w:space="0" w:color="auto"/>
              <w:right w:val="single" w:sz="8" w:space="0" w:color="auto"/>
            </w:tcBorders>
          </w:tcPr>
          <w:p w14:paraId="7AF161E7"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1945D86D"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78C8AA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B07705"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355DDF7F" w14:textId="77777777" w:rsidTr="00471D69">
        <w:trPr>
          <w:trHeight w:val="312"/>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4D93B2ED"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4.  Legal and Regulatory requirements</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3644037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6A44DB9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6EAA26D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10A21720"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4BD6D01C" w14:textId="77777777" w:rsidTr="00471D69">
        <w:trPr>
          <w:trHeight w:val="804"/>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53DFCE"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Proof of incorporation of the Applicant and copy Articles of Incorporation; (Yes or no)</w:t>
            </w:r>
          </w:p>
        </w:tc>
        <w:tc>
          <w:tcPr>
            <w:tcW w:w="1275" w:type="dxa"/>
            <w:tcBorders>
              <w:top w:val="single" w:sz="8" w:space="0" w:color="auto"/>
              <w:left w:val="single" w:sz="8" w:space="0" w:color="auto"/>
              <w:bottom w:val="single" w:sz="8" w:space="0" w:color="auto"/>
              <w:right w:val="single" w:sz="8" w:space="0" w:color="auto"/>
            </w:tcBorders>
          </w:tcPr>
          <w:p w14:paraId="45BDC56A"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1C4B5CC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1233465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F323A"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36417B11" w14:textId="77777777" w:rsidTr="00471D69">
        <w:trPr>
          <w:trHeight w:val="1104"/>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FA9160"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Proof of accreditation of applicant and relevant members of management team by FSC; or submission of application (If Applicable).</w:t>
            </w:r>
          </w:p>
        </w:tc>
        <w:tc>
          <w:tcPr>
            <w:tcW w:w="1275" w:type="dxa"/>
            <w:tcBorders>
              <w:top w:val="single" w:sz="8" w:space="0" w:color="auto"/>
              <w:left w:val="single" w:sz="8" w:space="0" w:color="auto"/>
              <w:bottom w:val="single" w:sz="8" w:space="0" w:color="auto"/>
              <w:right w:val="single" w:sz="8" w:space="0" w:color="auto"/>
            </w:tcBorders>
          </w:tcPr>
          <w:p w14:paraId="49A7C320"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43F585C1"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3D1922D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5B6BC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CFD37A0" w14:textId="77777777" w:rsidTr="00471D69">
        <w:trPr>
          <w:trHeight w:val="369"/>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091B1E9C"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lastRenderedPageBreak/>
              <w:t>5. Signed acceptance</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7071FB92"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5FCCF30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5493DEB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47D3A21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5D917756" w14:textId="77777777" w:rsidTr="00471D69">
        <w:trPr>
          <w:trHeight w:val="2034"/>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94BB99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To be incorporated in any resulting contracts, confirming application of, and compliance with, the World Bank's Anti-Corruption Guidelines, including without limitation the Bank's right to sanction and the Bank's inspection, audit rights and the rights for the Bank to review related documentation and activities must be included in all proposals</w:t>
            </w:r>
          </w:p>
        </w:tc>
        <w:tc>
          <w:tcPr>
            <w:tcW w:w="1275" w:type="dxa"/>
            <w:tcBorders>
              <w:top w:val="single" w:sz="8" w:space="0" w:color="auto"/>
              <w:left w:val="single" w:sz="8" w:space="0" w:color="auto"/>
              <w:bottom w:val="single" w:sz="8" w:space="0" w:color="auto"/>
              <w:right w:val="single" w:sz="8" w:space="0" w:color="auto"/>
            </w:tcBorders>
          </w:tcPr>
          <w:p w14:paraId="291C7043"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430B84F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BF8F4A3"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DE33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bl>
    <w:p w14:paraId="309C0259" w14:textId="7F7DA471" w:rsidR="00471D69" w:rsidRDefault="00471D69" w:rsidP="00471D69">
      <w:pPr>
        <w:rPr>
          <w:rFonts w:ascii="Calibri" w:eastAsia="Calibri" w:hAnsi="Calibri" w:cs="Times New Roman"/>
          <w:sz w:val="24"/>
          <w:szCs w:val="24"/>
        </w:rPr>
      </w:pPr>
    </w:p>
    <w:p w14:paraId="121A85F4" w14:textId="1E91A1B5" w:rsidR="00721009" w:rsidRDefault="00721009" w:rsidP="00471D69">
      <w:pPr>
        <w:rPr>
          <w:rFonts w:ascii="Calibri" w:eastAsia="Calibri" w:hAnsi="Calibri" w:cs="Times New Roman"/>
          <w:sz w:val="24"/>
          <w:szCs w:val="24"/>
        </w:rPr>
      </w:pPr>
    </w:p>
    <w:p w14:paraId="53F55BD8" w14:textId="06D14510" w:rsidR="00721009" w:rsidRDefault="00721009" w:rsidP="00471D69">
      <w:pPr>
        <w:rPr>
          <w:rFonts w:ascii="Calibri" w:eastAsia="Calibri" w:hAnsi="Calibri" w:cs="Times New Roman"/>
          <w:sz w:val="24"/>
          <w:szCs w:val="24"/>
        </w:rPr>
      </w:pPr>
    </w:p>
    <w:p w14:paraId="25533741" w14:textId="047B742F" w:rsidR="00721009" w:rsidRDefault="00721009" w:rsidP="00471D69">
      <w:pPr>
        <w:rPr>
          <w:rFonts w:ascii="Calibri" w:eastAsia="Calibri" w:hAnsi="Calibri" w:cs="Times New Roman"/>
          <w:sz w:val="24"/>
          <w:szCs w:val="24"/>
        </w:rPr>
      </w:pPr>
    </w:p>
    <w:p w14:paraId="0F24F210" w14:textId="17671220" w:rsidR="00721009" w:rsidRDefault="00721009" w:rsidP="00471D69">
      <w:pPr>
        <w:rPr>
          <w:rFonts w:ascii="Calibri" w:eastAsia="Calibri" w:hAnsi="Calibri" w:cs="Times New Roman"/>
          <w:sz w:val="24"/>
          <w:szCs w:val="24"/>
        </w:rPr>
      </w:pPr>
    </w:p>
    <w:p w14:paraId="682F25F2" w14:textId="3B5A64EE" w:rsidR="00721009" w:rsidRDefault="00721009" w:rsidP="00471D69">
      <w:pPr>
        <w:rPr>
          <w:rFonts w:ascii="Calibri" w:eastAsia="Calibri" w:hAnsi="Calibri" w:cs="Times New Roman"/>
          <w:sz w:val="24"/>
          <w:szCs w:val="24"/>
        </w:rPr>
      </w:pPr>
    </w:p>
    <w:p w14:paraId="15DEC259" w14:textId="1DD2998A" w:rsidR="0031495A" w:rsidRDefault="0031495A" w:rsidP="00471D69">
      <w:pPr>
        <w:rPr>
          <w:rFonts w:ascii="Calibri" w:eastAsia="Calibri" w:hAnsi="Calibri" w:cs="Times New Roman"/>
          <w:sz w:val="24"/>
          <w:szCs w:val="24"/>
        </w:rPr>
      </w:pPr>
    </w:p>
    <w:p w14:paraId="3359085E" w14:textId="79A2D1B1" w:rsidR="0031495A" w:rsidRDefault="0031495A" w:rsidP="00471D69">
      <w:pPr>
        <w:rPr>
          <w:rFonts w:ascii="Calibri" w:eastAsia="Calibri" w:hAnsi="Calibri" w:cs="Times New Roman"/>
          <w:sz w:val="24"/>
          <w:szCs w:val="24"/>
        </w:rPr>
      </w:pPr>
    </w:p>
    <w:p w14:paraId="76536171" w14:textId="77CE2CD9" w:rsidR="0031495A" w:rsidRDefault="0031495A" w:rsidP="00471D69">
      <w:pPr>
        <w:rPr>
          <w:rFonts w:ascii="Calibri" w:eastAsia="Calibri" w:hAnsi="Calibri" w:cs="Times New Roman"/>
          <w:sz w:val="24"/>
          <w:szCs w:val="24"/>
        </w:rPr>
      </w:pPr>
    </w:p>
    <w:p w14:paraId="3B9B8A53" w14:textId="591677FB" w:rsidR="0031495A" w:rsidRDefault="0031495A" w:rsidP="00471D69">
      <w:pPr>
        <w:rPr>
          <w:rFonts w:ascii="Calibri" w:eastAsia="Calibri" w:hAnsi="Calibri" w:cs="Times New Roman"/>
          <w:sz w:val="24"/>
          <w:szCs w:val="24"/>
        </w:rPr>
      </w:pPr>
    </w:p>
    <w:p w14:paraId="4E05AC41" w14:textId="77777777" w:rsidR="0031495A" w:rsidRDefault="0031495A" w:rsidP="00471D69">
      <w:pPr>
        <w:rPr>
          <w:rFonts w:ascii="Calibri" w:eastAsia="Calibri" w:hAnsi="Calibri" w:cs="Times New Roman"/>
          <w:sz w:val="24"/>
          <w:szCs w:val="24"/>
        </w:rPr>
      </w:pPr>
    </w:p>
    <w:p w14:paraId="20757AC7" w14:textId="65C0A092" w:rsidR="00ED01FB" w:rsidRDefault="00ED01FB">
      <w:pPr>
        <w:spacing w:after="160" w:line="259" w:lineRule="auto"/>
        <w:rPr>
          <w:rFonts w:ascii="Calibri" w:eastAsia="Calibri" w:hAnsi="Calibri" w:cs="Times New Roman"/>
          <w:sz w:val="24"/>
          <w:szCs w:val="24"/>
        </w:rPr>
      </w:pPr>
      <w:r>
        <w:rPr>
          <w:rFonts w:ascii="Calibri" w:eastAsia="Calibri" w:hAnsi="Calibri" w:cs="Times New Roman"/>
          <w:sz w:val="24"/>
          <w:szCs w:val="24"/>
        </w:rPr>
        <w:br w:type="page"/>
      </w:r>
    </w:p>
    <w:p w14:paraId="1CFB6DF5" w14:textId="1E2DAFB6" w:rsidR="001C6455" w:rsidRPr="001C6455" w:rsidRDefault="00471D69" w:rsidP="001C6455">
      <w:pPr>
        <w:keepNext/>
        <w:numPr>
          <w:ilvl w:val="0"/>
          <w:numId w:val="28"/>
        </w:numPr>
        <w:suppressAutoHyphens/>
        <w:spacing w:before="240" w:after="60" w:line="240" w:lineRule="auto"/>
        <w:jc w:val="both"/>
        <w:outlineLvl w:val="0"/>
        <w:rPr>
          <w:rFonts w:ascii="Cambria" w:eastAsiaTheme="majorEastAsia" w:hAnsi="Cambria" w:cstheme="majorBidi"/>
          <w:b/>
          <w:bCs/>
          <w:color w:val="0070C0"/>
          <w:sz w:val="24"/>
          <w:szCs w:val="24"/>
        </w:rPr>
      </w:pPr>
      <w:r w:rsidRPr="0031495A">
        <w:rPr>
          <w:rFonts w:ascii="Cambria" w:eastAsiaTheme="majorEastAsia" w:hAnsi="Cambria" w:cstheme="majorBidi"/>
          <w:b/>
          <w:bCs/>
          <w:color w:val="0070C0"/>
          <w:sz w:val="24"/>
          <w:szCs w:val="24"/>
        </w:rPr>
        <w:lastRenderedPageBreak/>
        <w:t xml:space="preserve">Presentation Evaluation </w:t>
      </w:r>
      <w:r w:rsidR="00720FEE">
        <w:rPr>
          <w:rFonts w:ascii="Cambria" w:eastAsiaTheme="majorEastAsia" w:hAnsi="Cambria" w:cstheme="majorBidi"/>
          <w:b/>
          <w:bCs/>
          <w:color w:val="0070C0"/>
          <w:sz w:val="24"/>
          <w:szCs w:val="24"/>
        </w:rPr>
        <w:t>F</w:t>
      </w:r>
      <w:r w:rsidRPr="0031495A">
        <w:rPr>
          <w:rFonts w:ascii="Cambria" w:eastAsiaTheme="majorEastAsia" w:hAnsi="Cambria" w:cstheme="majorBidi"/>
          <w:b/>
          <w:bCs/>
          <w:color w:val="0070C0"/>
          <w:sz w:val="24"/>
          <w:szCs w:val="24"/>
        </w:rPr>
        <w:t>orms</w:t>
      </w:r>
    </w:p>
    <w:p w14:paraId="392F1049" w14:textId="4469449C" w:rsidR="001C6455" w:rsidRDefault="001C6455" w:rsidP="001C6455">
      <w:pPr>
        <w:keepNext/>
        <w:suppressAutoHyphens/>
        <w:spacing w:before="240" w:after="60" w:line="240" w:lineRule="auto"/>
        <w:jc w:val="both"/>
        <w:outlineLvl w:val="0"/>
        <w:rPr>
          <w:rFonts w:ascii="Cambria" w:eastAsiaTheme="majorEastAsia" w:hAnsi="Cambria" w:cstheme="majorBidi"/>
          <w:b/>
          <w:bCs/>
          <w:color w:val="0070C0"/>
          <w:sz w:val="24"/>
          <w:szCs w:val="24"/>
        </w:rPr>
      </w:pPr>
      <w:r w:rsidRPr="001C6455">
        <w:rPr>
          <w:noProof/>
          <w:lang w:val="en-JM" w:eastAsia="en-JM"/>
        </w:rPr>
        <w:drawing>
          <wp:inline distT="0" distB="0" distL="0" distR="0" wp14:anchorId="3C8C92A1" wp14:editId="2907694D">
            <wp:extent cx="5845775" cy="8121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9719" cy="8127130"/>
                    </a:xfrm>
                    <a:prstGeom prst="rect">
                      <a:avLst/>
                    </a:prstGeom>
                    <a:noFill/>
                    <a:ln>
                      <a:noFill/>
                    </a:ln>
                  </pic:spPr>
                </pic:pic>
              </a:graphicData>
            </a:graphic>
          </wp:inline>
        </w:drawing>
      </w:r>
    </w:p>
    <w:p w14:paraId="2F8020E7" w14:textId="77777777" w:rsidR="00ED01FB" w:rsidRDefault="00ED01FB">
      <w:pPr>
        <w:spacing w:after="160" w:line="259" w:lineRule="auto"/>
        <w:rPr>
          <w:rFonts w:eastAsiaTheme="majorEastAsia" w:cstheme="majorBidi"/>
          <w:b/>
          <w:bCs/>
          <w:color w:val="0070C0"/>
          <w:sz w:val="28"/>
          <w:szCs w:val="28"/>
        </w:rPr>
      </w:pPr>
      <w:r>
        <w:rPr>
          <w:rFonts w:eastAsiaTheme="majorEastAsia" w:cstheme="majorBidi"/>
          <w:b/>
          <w:bCs/>
          <w:color w:val="0070C0"/>
          <w:sz w:val="28"/>
          <w:szCs w:val="28"/>
        </w:rPr>
        <w:br w:type="page"/>
      </w:r>
    </w:p>
    <w:p w14:paraId="6CF8FFB4" w14:textId="4A1078D0" w:rsidR="0036242A" w:rsidRPr="00BE5A1B" w:rsidRDefault="00924DFF" w:rsidP="006B6106">
      <w:pPr>
        <w:pStyle w:val="ListParagraph"/>
        <w:keepNext/>
        <w:keepLines/>
        <w:numPr>
          <w:ilvl w:val="0"/>
          <w:numId w:val="28"/>
        </w:numPr>
        <w:spacing w:before="200"/>
        <w:outlineLvl w:val="1"/>
        <w:rPr>
          <w:rFonts w:ascii="Cambria" w:eastAsia="MS Gothic" w:hAnsi="Cambria"/>
          <w:b/>
          <w:bCs/>
          <w:color w:val="0070C0"/>
          <w:lang w:val="fr-FR"/>
        </w:rPr>
      </w:pPr>
      <w:bookmarkStart w:id="65" w:name="_Toc31010204"/>
      <w:bookmarkStart w:id="66" w:name="_Hlk30061742"/>
      <w:bookmarkEnd w:id="63"/>
      <w:bookmarkEnd w:id="64"/>
      <w:r w:rsidRPr="0031495A">
        <w:rPr>
          <w:rFonts w:ascii="Cambria" w:eastAsia="MS Gothic" w:hAnsi="Cambria"/>
          <w:b/>
          <w:bCs/>
          <w:color w:val="0070C0"/>
          <w:lang w:val="fr-FR"/>
        </w:rPr>
        <w:lastRenderedPageBreak/>
        <w:t>Investor Panel</w:t>
      </w:r>
      <w:r w:rsidR="0017025F" w:rsidRPr="0031495A">
        <w:rPr>
          <w:rFonts w:ascii="Cambria" w:eastAsia="MS Gothic" w:hAnsi="Cambria"/>
          <w:b/>
          <w:bCs/>
          <w:color w:val="0070C0"/>
          <w:lang w:val="fr-FR"/>
        </w:rPr>
        <w:t xml:space="preserve"> </w:t>
      </w:r>
      <w:r w:rsidRPr="0031495A">
        <w:rPr>
          <w:rFonts w:ascii="Cambria" w:eastAsia="MS Gothic" w:hAnsi="Cambria"/>
          <w:b/>
          <w:bCs/>
          <w:color w:val="0070C0"/>
          <w:lang w:val="fr-FR"/>
        </w:rPr>
        <w:t>Due Diligence Questionnaire</w:t>
      </w:r>
      <w:bookmarkEnd w:id="65"/>
      <w:r w:rsidRPr="0031495A">
        <w:rPr>
          <w:rFonts w:ascii="Cambria" w:eastAsia="MS Gothic" w:hAnsi="Cambria"/>
          <w:b/>
          <w:bCs/>
          <w:color w:val="0070C0"/>
          <w:lang w:val="fr-FR"/>
        </w:rPr>
        <w:t xml:space="preserve"> </w:t>
      </w:r>
      <w:bookmarkEnd w:id="66"/>
    </w:p>
    <w:p w14:paraId="24EE8E79" w14:textId="2B591D84" w:rsidR="00BE5A1B" w:rsidRDefault="00BE5A1B" w:rsidP="006B6106">
      <w:pPr>
        <w:keepNext/>
        <w:keepLines/>
        <w:spacing w:before="200" w:after="0" w:line="240" w:lineRule="auto"/>
        <w:outlineLvl w:val="1"/>
        <w:rPr>
          <w:rFonts w:ascii="Cambria" w:eastAsia="MS Gothic" w:hAnsi="Cambria" w:cs="Times New Roman"/>
          <w:b/>
          <w:bCs/>
          <w:color w:val="4F81BD"/>
          <w:sz w:val="24"/>
          <w:szCs w:val="24"/>
          <w:lang w:val="en-GB"/>
        </w:rPr>
      </w:pPr>
      <w:r w:rsidRPr="00BE5A1B">
        <w:rPr>
          <w:noProof/>
          <w:lang w:val="en-JM" w:eastAsia="en-JM"/>
        </w:rPr>
        <w:drawing>
          <wp:inline distT="0" distB="0" distL="0" distR="0" wp14:anchorId="7F05E8AE" wp14:editId="2C1365DA">
            <wp:extent cx="5731510" cy="85217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8521700"/>
                    </a:xfrm>
                    <a:prstGeom prst="rect">
                      <a:avLst/>
                    </a:prstGeom>
                    <a:noFill/>
                    <a:ln>
                      <a:noFill/>
                    </a:ln>
                  </pic:spPr>
                </pic:pic>
              </a:graphicData>
            </a:graphic>
          </wp:inline>
        </w:drawing>
      </w:r>
    </w:p>
    <w:p w14:paraId="1C42AE45" w14:textId="45245320" w:rsidR="00BE5A1B" w:rsidRDefault="00BE5A1B" w:rsidP="006B6106">
      <w:pPr>
        <w:keepNext/>
        <w:keepLines/>
        <w:spacing w:before="200" w:after="0" w:line="240" w:lineRule="auto"/>
        <w:outlineLvl w:val="1"/>
        <w:rPr>
          <w:rFonts w:ascii="Cambria" w:eastAsia="MS Gothic" w:hAnsi="Cambria" w:cs="Times New Roman"/>
          <w:b/>
          <w:bCs/>
          <w:color w:val="4F81BD"/>
          <w:sz w:val="24"/>
          <w:szCs w:val="24"/>
          <w:lang w:val="en-GB"/>
        </w:rPr>
      </w:pPr>
    </w:p>
    <w:p w14:paraId="50D1604F" w14:textId="14CE2AF2" w:rsidR="00BE5A1B" w:rsidRDefault="00BE5A1B" w:rsidP="006B6106">
      <w:pPr>
        <w:keepNext/>
        <w:keepLines/>
        <w:spacing w:before="200" w:after="0" w:line="240" w:lineRule="auto"/>
        <w:outlineLvl w:val="1"/>
        <w:rPr>
          <w:rFonts w:ascii="Cambria" w:eastAsia="MS Gothic" w:hAnsi="Cambria" w:cs="Times New Roman"/>
          <w:b/>
          <w:bCs/>
          <w:color w:val="4F81BD"/>
          <w:sz w:val="24"/>
          <w:szCs w:val="24"/>
          <w:lang w:val="en-GB"/>
        </w:rPr>
      </w:pPr>
      <w:r w:rsidRPr="00BE5A1B">
        <w:rPr>
          <w:noProof/>
          <w:lang w:val="en-JM" w:eastAsia="en-JM"/>
        </w:rPr>
        <w:drawing>
          <wp:inline distT="0" distB="0" distL="0" distR="0" wp14:anchorId="7AAD1287" wp14:editId="20AD6D29">
            <wp:extent cx="5731510" cy="28003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800350"/>
                    </a:xfrm>
                    <a:prstGeom prst="rect">
                      <a:avLst/>
                    </a:prstGeom>
                    <a:noFill/>
                    <a:ln>
                      <a:noFill/>
                    </a:ln>
                  </pic:spPr>
                </pic:pic>
              </a:graphicData>
            </a:graphic>
          </wp:inline>
        </w:drawing>
      </w:r>
    </w:p>
    <w:p w14:paraId="45BD0CF6" w14:textId="77777777" w:rsidR="00BE5A1B" w:rsidRDefault="00BE5A1B" w:rsidP="006B6106">
      <w:pPr>
        <w:keepNext/>
        <w:keepLines/>
        <w:spacing w:before="200" w:after="0" w:line="240" w:lineRule="auto"/>
        <w:outlineLvl w:val="1"/>
        <w:rPr>
          <w:rFonts w:ascii="Cambria" w:eastAsia="MS Gothic" w:hAnsi="Cambria" w:cs="Times New Roman"/>
          <w:b/>
          <w:bCs/>
          <w:color w:val="4F81BD"/>
          <w:sz w:val="24"/>
          <w:szCs w:val="24"/>
          <w:lang w:val="en-GB"/>
        </w:rPr>
      </w:pPr>
    </w:p>
    <w:p w14:paraId="258269DA" w14:textId="4E4B6772" w:rsidR="006B6106" w:rsidRDefault="00BC4F79" w:rsidP="006B6106">
      <w:pPr>
        <w:keepNext/>
        <w:keepLines/>
        <w:spacing w:before="200" w:after="0" w:line="240" w:lineRule="auto"/>
        <w:outlineLvl w:val="1"/>
        <w:rPr>
          <w:rFonts w:ascii="Cambria" w:eastAsia="MS Gothic" w:hAnsi="Cambria" w:cs="Times New Roman"/>
          <w:b/>
          <w:bCs/>
          <w:color w:val="4F81BD"/>
          <w:sz w:val="24"/>
          <w:szCs w:val="24"/>
        </w:rPr>
      </w:pPr>
      <w:r w:rsidRPr="00BC4F79">
        <w:rPr>
          <w:rFonts w:ascii="Cambria" w:eastAsia="MS Gothic" w:hAnsi="Cambria" w:cs="Times New Roman"/>
          <w:b/>
          <w:bCs/>
          <w:color w:val="4F81BD"/>
          <w:sz w:val="24"/>
          <w:szCs w:val="24"/>
          <w:lang w:val="en-GB"/>
        </w:rPr>
        <w:t>I</w:t>
      </w:r>
      <w:r>
        <w:rPr>
          <w:rFonts w:ascii="Cambria" w:eastAsia="MS Gothic" w:hAnsi="Cambria" w:cs="Times New Roman"/>
          <w:b/>
          <w:bCs/>
          <w:color w:val="4F81BD"/>
          <w:sz w:val="24"/>
          <w:szCs w:val="24"/>
          <w:lang w:val="en-GB"/>
        </w:rPr>
        <w:t>V</w:t>
      </w:r>
      <w:r w:rsidRPr="00EE7E33">
        <w:rPr>
          <w:color w:val="002060"/>
        </w:rPr>
        <w:t xml:space="preserve">.    </w:t>
      </w:r>
      <w:r w:rsidRPr="00EE7E33">
        <w:rPr>
          <w:rFonts w:ascii="Cambria" w:eastAsia="MS Gothic" w:hAnsi="Cambria" w:cs="Times New Roman"/>
          <w:b/>
          <w:bCs/>
          <w:color w:val="4F81BD"/>
          <w:sz w:val="24"/>
          <w:szCs w:val="24"/>
        </w:rPr>
        <w:t>COMPLAINT MECHANISM GUIDELINE</w:t>
      </w:r>
    </w:p>
    <w:p w14:paraId="3DCC674B" w14:textId="77777777" w:rsidR="00633567" w:rsidRPr="00BC4F79" w:rsidRDefault="00633567" w:rsidP="006B6106">
      <w:pPr>
        <w:keepNext/>
        <w:keepLines/>
        <w:spacing w:before="200" w:after="0" w:line="240" w:lineRule="auto"/>
        <w:outlineLvl w:val="1"/>
        <w:rPr>
          <w:rFonts w:ascii="Cambria" w:eastAsia="MS Gothic" w:hAnsi="Cambria" w:cs="Times New Roman"/>
          <w:b/>
          <w:bCs/>
          <w:color w:val="4F81BD"/>
          <w:sz w:val="24"/>
          <w:szCs w:val="24"/>
          <w:lang w:val="en-GB"/>
        </w:rPr>
      </w:pPr>
    </w:p>
    <w:tbl>
      <w:tblPr>
        <w:tblW w:w="8884" w:type="dxa"/>
        <w:tblLayout w:type="fixed"/>
        <w:tblCellMar>
          <w:left w:w="115" w:type="dxa"/>
          <w:right w:w="115" w:type="dxa"/>
        </w:tblCellMar>
        <w:tblLook w:val="0000" w:firstRow="0" w:lastRow="0" w:firstColumn="0" w:lastColumn="0" w:noHBand="0" w:noVBand="0"/>
      </w:tblPr>
      <w:tblGrid>
        <w:gridCol w:w="2455"/>
        <w:gridCol w:w="6429"/>
      </w:tblGrid>
      <w:tr w:rsidR="00BC4F79" w:rsidRPr="00BC4F79" w14:paraId="39C9789C" w14:textId="77777777" w:rsidTr="00762F59">
        <w:tc>
          <w:tcPr>
            <w:tcW w:w="2455" w:type="dxa"/>
          </w:tcPr>
          <w:p w14:paraId="6FE591EE" w14:textId="77777777" w:rsidR="00BC4F79" w:rsidRPr="00BC4F79" w:rsidRDefault="00BC4F79" w:rsidP="00BC4F79">
            <w:pPr>
              <w:spacing w:line="240" w:lineRule="auto"/>
              <w:ind w:left="720" w:hanging="360"/>
              <w:outlineLvl w:val="4"/>
              <w:rPr>
                <w:rFonts w:eastAsia="Times New Roman" w:cstheme="minorHAnsi"/>
                <w:b/>
                <w:sz w:val="20"/>
                <w:szCs w:val="20"/>
                <w:lang w:val="en-GB"/>
              </w:rPr>
            </w:pPr>
            <w:bookmarkStart w:id="67" w:name="_Toc454358624"/>
            <w:bookmarkStart w:id="68" w:name="_Toc494209457"/>
            <w:r w:rsidRPr="00BC4F79">
              <w:rPr>
                <w:rFonts w:eastAsia="Times New Roman" w:cstheme="minorHAnsi"/>
                <w:b/>
                <w:sz w:val="20"/>
                <w:szCs w:val="20"/>
                <w:lang w:val="en-GB"/>
              </w:rPr>
              <w:t>Standstill Period</w:t>
            </w:r>
            <w:bookmarkEnd w:id="67"/>
            <w:bookmarkEnd w:id="68"/>
          </w:p>
        </w:tc>
        <w:tc>
          <w:tcPr>
            <w:tcW w:w="6429" w:type="dxa"/>
          </w:tcPr>
          <w:p w14:paraId="551C4D2C" w14:textId="77777777" w:rsidR="00BC4F79" w:rsidRPr="00BC4F79" w:rsidRDefault="00BC4F79" w:rsidP="00625D6F">
            <w:pPr>
              <w:numPr>
                <w:ilvl w:val="1"/>
                <w:numId w:val="24"/>
              </w:numPr>
              <w:spacing w:after="0" w:line="240" w:lineRule="auto"/>
              <w:ind w:left="450" w:hanging="450"/>
              <w:jc w:val="both"/>
              <w:rPr>
                <w:rFonts w:eastAsia="Times New Roman" w:cstheme="minorHAnsi"/>
                <w:sz w:val="20"/>
                <w:szCs w:val="20"/>
              </w:rPr>
            </w:pPr>
            <w:r w:rsidRPr="00BC4F79">
              <w:rPr>
                <w:rFonts w:eastAsia="Times New Roman" w:cstheme="minorHAnsi"/>
                <w:sz w:val="20"/>
                <w:szCs w:val="20"/>
              </w:rPr>
              <w:t xml:space="preserve">The Contract shall not be awarded earlier than the expiry of the Standstill Period. </w:t>
            </w:r>
            <w:r w:rsidRPr="00BC4F79">
              <w:rPr>
                <w:rFonts w:eastAsia="Times New Roman" w:cstheme="minorHAnsi"/>
                <w:iCs/>
                <w:sz w:val="20"/>
                <w:szCs w:val="20"/>
              </w:rPr>
              <w:t xml:space="preserve">The Standstill Period shall be ten (10) Business Days unless extended. </w:t>
            </w:r>
            <w:r w:rsidRPr="00BC4F79">
              <w:rPr>
                <w:rFonts w:eastAsia="Times New Roman" w:cstheme="minorHAnsi"/>
                <w:sz w:val="20"/>
                <w:szCs w:val="20"/>
              </w:rPr>
              <w:t xml:space="preserve">The Standstill Period commences the day after the date the DBJ has transmitted to each </w:t>
            </w:r>
            <w:r w:rsidRPr="00BC4F79">
              <w:rPr>
                <w:rFonts w:eastAsia="Times New Roman" w:cstheme="minorHAnsi"/>
                <w:iCs/>
                <w:sz w:val="20"/>
                <w:szCs w:val="20"/>
              </w:rPr>
              <w:t>Applicants/Proposers</w:t>
            </w:r>
            <w:r w:rsidRPr="00BC4F79" w:rsidDel="008C5569">
              <w:rPr>
                <w:rFonts w:eastAsia="Times New Roman" w:cstheme="minorHAnsi"/>
                <w:sz w:val="20"/>
                <w:szCs w:val="20"/>
              </w:rPr>
              <w:t xml:space="preserve"> </w:t>
            </w:r>
            <w:r w:rsidRPr="00BC4F79">
              <w:rPr>
                <w:rFonts w:eastAsia="Times New Roman" w:cstheme="minorHAnsi"/>
                <w:sz w:val="20"/>
                <w:szCs w:val="20"/>
              </w:rPr>
              <w:t xml:space="preserve">(that has not already been notified that it has been unsuccessful) the Notification of Intention to Award the Contract. </w:t>
            </w:r>
          </w:p>
        </w:tc>
      </w:tr>
      <w:tr w:rsidR="00BC4F79" w:rsidRPr="00BC4F79" w14:paraId="17F9918F" w14:textId="77777777" w:rsidTr="00762F59">
        <w:tc>
          <w:tcPr>
            <w:tcW w:w="2455" w:type="dxa"/>
          </w:tcPr>
          <w:p w14:paraId="0124DA88" w14:textId="77777777" w:rsidR="00BC4F79" w:rsidRPr="00BC4F79" w:rsidRDefault="00BC4F79" w:rsidP="00BC4F79">
            <w:pPr>
              <w:spacing w:line="240" w:lineRule="auto"/>
              <w:ind w:left="720" w:hanging="360"/>
              <w:outlineLvl w:val="4"/>
              <w:rPr>
                <w:rFonts w:eastAsia="Times New Roman" w:cstheme="minorHAnsi"/>
                <w:b/>
                <w:sz w:val="20"/>
                <w:szCs w:val="20"/>
              </w:rPr>
            </w:pPr>
            <w:bookmarkStart w:id="69" w:name="_Toc454358625"/>
            <w:bookmarkStart w:id="70" w:name="_Toc494209458"/>
            <w:r w:rsidRPr="00BC4F79">
              <w:rPr>
                <w:rFonts w:eastAsia="Times New Roman" w:cstheme="minorHAnsi"/>
                <w:b/>
                <w:sz w:val="20"/>
                <w:szCs w:val="20"/>
              </w:rPr>
              <w:t>Notification of Intention to Award</w:t>
            </w:r>
            <w:bookmarkEnd w:id="69"/>
            <w:bookmarkEnd w:id="70"/>
          </w:p>
        </w:tc>
        <w:tc>
          <w:tcPr>
            <w:tcW w:w="6429" w:type="dxa"/>
          </w:tcPr>
          <w:p w14:paraId="7DE04F6C" w14:textId="77777777" w:rsidR="00BC4F79" w:rsidRPr="00BC4F79" w:rsidRDefault="00BC4F79" w:rsidP="00625D6F">
            <w:pPr>
              <w:numPr>
                <w:ilvl w:val="1"/>
                <w:numId w:val="24"/>
              </w:numPr>
              <w:spacing w:after="0" w:line="240" w:lineRule="auto"/>
              <w:ind w:left="450" w:hanging="450"/>
              <w:jc w:val="both"/>
              <w:rPr>
                <w:rFonts w:eastAsia="Times New Roman" w:cstheme="minorHAnsi"/>
                <w:color w:val="000000" w:themeColor="text1"/>
                <w:sz w:val="20"/>
                <w:szCs w:val="20"/>
              </w:rPr>
            </w:pPr>
            <w:r w:rsidRPr="00BC4F79">
              <w:rPr>
                <w:rFonts w:eastAsia="Times New Roman" w:cstheme="minorHAnsi"/>
                <w:sz w:val="20"/>
                <w:szCs w:val="20"/>
              </w:rPr>
              <w:t xml:space="preserve">The DBJ shall send to each Fund Manager/Proposer (that has not already been notified that it has been unsuccessful) the Notification of Intention to Award the Contract to the successful </w:t>
            </w:r>
            <w:r w:rsidRPr="00BC4F79">
              <w:rPr>
                <w:rFonts w:eastAsia="Times New Roman" w:cstheme="minorHAnsi"/>
                <w:iCs/>
                <w:sz w:val="20"/>
                <w:szCs w:val="20"/>
              </w:rPr>
              <w:t>Applicant/Proposer</w:t>
            </w:r>
            <w:r w:rsidRPr="00BC4F79">
              <w:rPr>
                <w:rFonts w:eastAsia="Times New Roman" w:cstheme="minorHAnsi"/>
                <w:sz w:val="20"/>
                <w:szCs w:val="20"/>
              </w:rPr>
              <w:t xml:space="preserve">. </w:t>
            </w:r>
            <w:r w:rsidRPr="00BC4F79">
              <w:rPr>
                <w:rFonts w:eastAsia="Times New Roman" w:cstheme="minorHAnsi"/>
                <w:color w:val="000000" w:themeColor="text1"/>
                <w:sz w:val="20"/>
                <w:szCs w:val="20"/>
              </w:rPr>
              <w:t>The Notification of Intention to Award shall contain, at a minimum, the following information:</w:t>
            </w:r>
          </w:p>
          <w:p w14:paraId="2153CF09" w14:textId="77777777" w:rsidR="00BC4F79" w:rsidRPr="00BC4F79" w:rsidRDefault="00BC4F79" w:rsidP="00625D6F">
            <w:pPr>
              <w:numPr>
                <w:ilvl w:val="2"/>
                <w:numId w:val="25"/>
              </w:numPr>
              <w:spacing w:after="120" w:line="240" w:lineRule="auto"/>
              <w:jc w:val="both"/>
              <w:rPr>
                <w:rFonts w:eastAsia="Calibri" w:cstheme="minorHAnsi"/>
                <w:color w:val="000000"/>
                <w:sz w:val="20"/>
                <w:szCs w:val="20"/>
              </w:rPr>
            </w:pPr>
            <w:r w:rsidRPr="00BC4F79">
              <w:rPr>
                <w:rFonts w:eastAsia="Calibri" w:cstheme="minorHAnsi"/>
                <w:color w:val="000000"/>
                <w:sz w:val="20"/>
                <w:szCs w:val="20"/>
              </w:rPr>
              <w:t xml:space="preserve">the name and address of the </w:t>
            </w:r>
            <w:r w:rsidRPr="00BC4F79">
              <w:rPr>
                <w:rFonts w:eastAsia="Times New Roman" w:cstheme="minorHAnsi"/>
                <w:iCs/>
                <w:sz w:val="20"/>
                <w:szCs w:val="20"/>
              </w:rPr>
              <w:t>Applicant/Proposer</w:t>
            </w:r>
            <w:r w:rsidRPr="00BC4F79" w:rsidDel="008C5569">
              <w:rPr>
                <w:rFonts w:eastAsia="Times New Roman" w:cstheme="minorHAnsi"/>
                <w:sz w:val="20"/>
                <w:szCs w:val="20"/>
              </w:rPr>
              <w:t xml:space="preserve"> </w:t>
            </w:r>
            <w:r w:rsidRPr="00BC4F79">
              <w:rPr>
                <w:rFonts w:eastAsia="Calibri" w:cstheme="minorHAnsi"/>
                <w:color w:val="000000"/>
                <w:sz w:val="20"/>
                <w:szCs w:val="20"/>
              </w:rPr>
              <w:t xml:space="preserve">with whom the DBJ successfully negotiated a </w:t>
            </w:r>
            <w:proofErr w:type="gramStart"/>
            <w:r w:rsidRPr="00BC4F79">
              <w:rPr>
                <w:rFonts w:eastAsia="Calibri" w:cstheme="minorHAnsi"/>
                <w:color w:val="000000"/>
                <w:sz w:val="20"/>
                <w:szCs w:val="20"/>
              </w:rPr>
              <w:t>contract;</w:t>
            </w:r>
            <w:proofErr w:type="gramEnd"/>
          </w:p>
          <w:p w14:paraId="273A4165" w14:textId="77777777" w:rsidR="00BC4F79" w:rsidRPr="00BC4F79" w:rsidRDefault="00BC4F79" w:rsidP="00625D6F">
            <w:pPr>
              <w:numPr>
                <w:ilvl w:val="2"/>
                <w:numId w:val="25"/>
              </w:numPr>
              <w:spacing w:after="120" w:line="240" w:lineRule="auto"/>
              <w:jc w:val="both"/>
              <w:rPr>
                <w:rFonts w:eastAsia="Calibri" w:cstheme="minorHAnsi"/>
                <w:color w:val="000000"/>
                <w:sz w:val="20"/>
                <w:szCs w:val="20"/>
              </w:rPr>
            </w:pPr>
            <w:r w:rsidRPr="00BC4F79">
              <w:rPr>
                <w:rFonts w:eastAsia="Calibri" w:cstheme="minorHAnsi"/>
                <w:color w:val="000000"/>
                <w:sz w:val="20"/>
                <w:szCs w:val="20"/>
              </w:rPr>
              <w:t xml:space="preserve">the contract price of the successful </w:t>
            </w:r>
            <w:proofErr w:type="gramStart"/>
            <w:r w:rsidRPr="00BC4F79">
              <w:rPr>
                <w:rFonts w:eastAsia="Calibri" w:cstheme="minorHAnsi"/>
                <w:color w:val="000000"/>
                <w:sz w:val="20"/>
                <w:szCs w:val="20"/>
              </w:rPr>
              <w:t>Proposal;</w:t>
            </w:r>
            <w:proofErr w:type="gramEnd"/>
          </w:p>
          <w:p w14:paraId="00EB9138" w14:textId="77777777" w:rsidR="00BC4F79" w:rsidRPr="00BC4F79" w:rsidRDefault="00BC4F79" w:rsidP="00625D6F">
            <w:pPr>
              <w:numPr>
                <w:ilvl w:val="2"/>
                <w:numId w:val="25"/>
              </w:numPr>
              <w:spacing w:after="120" w:line="240" w:lineRule="auto"/>
              <w:jc w:val="both"/>
              <w:rPr>
                <w:rFonts w:eastAsia="Calibri" w:cstheme="minorHAnsi"/>
                <w:color w:val="000000"/>
                <w:sz w:val="20"/>
                <w:szCs w:val="20"/>
              </w:rPr>
            </w:pPr>
            <w:r w:rsidRPr="00BC4F79">
              <w:rPr>
                <w:rFonts w:eastAsia="Calibri" w:cstheme="minorHAnsi"/>
                <w:color w:val="000000"/>
                <w:sz w:val="20"/>
                <w:szCs w:val="20"/>
              </w:rPr>
              <w:t xml:space="preserve">the names of all </w:t>
            </w:r>
            <w:r w:rsidRPr="00BC4F79">
              <w:rPr>
                <w:rFonts w:eastAsia="Times New Roman" w:cstheme="minorHAnsi"/>
                <w:iCs/>
                <w:sz w:val="20"/>
                <w:szCs w:val="20"/>
              </w:rPr>
              <w:t>Applicants/Proposers</w:t>
            </w:r>
            <w:r w:rsidRPr="00BC4F79" w:rsidDel="008C5569">
              <w:rPr>
                <w:rFonts w:eastAsia="Times New Roman" w:cstheme="minorHAnsi"/>
                <w:sz w:val="20"/>
                <w:szCs w:val="20"/>
              </w:rPr>
              <w:t xml:space="preserve"> </w:t>
            </w:r>
            <w:r w:rsidRPr="00BC4F79">
              <w:rPr>
                <w:rFonts w:eastAsia="Calibri" w:cstheme="minorHAnsi"/>
                <w:color w:val="000000"/>
                <w:sz w:val="20"/>
                <w:szCs w:val="20"/>
              </w:rPr>
              <w:t xml:space="preserve">included in the short list, indicating those that submitted Proposals and were selected for due </w:t>
            </w:r>
            <w:proofErr w:type="gramStart"/>
            <w:r w:rsidRPr="00BC4F79">
              <w:rPr>
                <w:rFonts w:eastAsia="Calibri" w:cstheme="minorHAnsi"/>
                <w:color w:val="000000"/>
                <w:sz w:val="20"/>
                <w:szCs w:val="20"/>
              </w:rPr>
              <w:t>diligence;</w:t>
            </w:r>
            <w:proofErr w:type="gramEnd"/>
            <w:r w:rsidRPr="00BC4F79">
              <w:rPr>
                <w:rFonts w:eastAsia="Calibri" w:cstheme="minorHAnsi"/>
                <w:color w:val="000000"/>
                <w:sz w:val="20"/>
                <w:szCs w:val="20"/>
              </w:rPr>
              <w:t xml:space="preserve"> </w:t>
            </w:r>
          </w:p>
          <w:p w14:paraId="682EB66E" w14:textId="77777777" w:rsidR="00BC4F79" w:rsidRPr="00BC4F79" w:rsidRDefault="00BC4F79" w:rsidP="00625D6F">
            <w:pPr>
              <w:numPr>
                <w:ilvl w:val="2"/>
                <w:numId w:val="25"/>
              </w:numPr>
              <w:spacing w:after="120" w:line="240" w:lineRule="auto"/>
              <w:jc w:val="both"/>
              <w:rPr>
                <w:rFonts w:eastAsia="Calibri" w:cstheme="minorHAnsi"/>
                <w:sz w:val="20"/>
                <w:szCs w:val="20"/>
              </w:rPr>
            </w:pPr>
            <w:r w:rsidRPr="00BC4F79">
              <w:rPr>
                <w:rFonts w:eastAsia="Calibri" w:cstheme="minorHAnsi"/>
                <w:sz w:val="20"/>
                <w:szCs w:val="20"/>
              </w:rPr>
              <w:t xml:space="preserve">where the selection method requires, the price offered by each </w:t>
            </w:r>
            <w:r w:rsidRPr="00BC4F79">
              <w:rPr>
                <w:rFonts w:eastAsia="Times New Roman" w:cstheme="minorHAnsi"/>
                <w:iCs/>
                <w:sz w:val="20"/>
                <w:szCs w:val="20"/>
              </w:rPr>
              <w:t>Applicants/Proposers</w:t>
            </w:r>
            <w:r w:rsidRPr="00BC4F79" w:rsidDel="008C5569">
              <w:rPr>
                <w:rFonts w:eastAsia="Times New Roman" w:cstheme="minorHAnsi"/>
                <w:sz w:val="20"/>
                <w:szCs w:val="20"/>
              </w:rPr>
              <w:t xml:space="preserve"> </w:t>
            </w:r>
            <w:r w:rsidRPr="00BC4F79">
              <w:rPr>
                <w:rFonts w:eastAsia="Calibri" w:cstheme="minorHAnsi"/>
                <w:sz w:val="20"/>
                <w:szCs w:val="20"/>
              </w:rPr>
              <w:t xml:space="preserve">as read out and as </w:t>
            </w:r>
            <w:proofErr w:type="gramStart"/>
            <w:r w:rsidRPr="00BC4F79">
              <w:rPr>
                <w:rFonts w:eastAsia="Calibri" w:cstheme="minorHAnsi"/>
                <w:sz w:val="20"/>
                <w:szCs w:val="20"/>
              </w:rPr>
              <w:t>evaluated;</w:t>
            </w:r>
            <w:proofErr w:type="gramEnd"/>
          </w:p>
          <w:p w14:paraId="631996CA" w14:textId="77777777" w:rsidR="00BC4F79" w:rsidRPr="00BC4F79" w:rsidRDefault="00BC4F79" w:rsidP="00625D6F">
            <w:pPr>
              <w:numPr>
                <w:ilvl w:val="2"/>
                <w:numId w:val="25"/>
              </w:numPr>
              <w:spacing w:after="120" w:line="240" w:lineRule="auto"/>
              <w:jc w:val="both"/>
              <w:rPr>
                <w:rFonts w:eastAsia="Calibri" w:cstheme="minorHAnsi"/>
                <w:color w:val="000000"/>
                <w:sz w:val="20"/>
                <w:szCs w:val="20"/>
              </w:rPr>
            </w:pPr>
            <w:r w:rsidRPr="00BC4F79">
              <w:rPr>
                <w:rFonts w:eastAsia="Calibri" w:cstheme="minorHAnsi"/>
                <w:color w:val="000000"/>
                <w:sz w:val="20"/>
                <w:szCs w:val="20"/>
              </w:rPr>
              <w:t xml:space="preserve">the overall technical scores and scores assigned for each criterion and sub-criterion to each </w:t>
            </w:r>
            <w:r w:rsidRPr="00BC4F79">
              <w:rPr>
                <w:rFonts w:eastAsia="Times New Roman" w:cstheme="minorHAnsi"/>
                <w:iCs/>
                <w:sz w:val="20"/>
                <w:szCs w:val="20"/>
              </w:rPr>
              <w:t>Applicants/</w:t>
            </w:r>
            <w:proofErr w:type="gramStart"/>
            <w:r w:rsidRPr="00BC4F79">
              <w:rPr>
                <w:rFonts w:eastAsia="Times New Roman" w:cstheme="minorHAnsi"/>
                <w:iCs/>
                <w:sz w:val="20"/>
                <w:szCs w:val="20"/>
              </w:rPr>
              <w:t>Proposers</w:t>
            </w:r>
            <w:r w:rsidRPr="00BC4F79">
              <w:rPr>
                <w:rFonts w:eastAsia="Calibri" w:cstheme="minorHAnsi"/>
                <w:color w:val="000000"/>
                <w:sz w:val="20"/>
                <w:szCs w:val="20"/>
              </w:rPr>
              <w:t>;</w:t>
            </w:r>
            <w:proofErr w:type="gramEnd"/>
            <w:r w:rsidRPr="00BC4F79">
              <w:rPr>
                <w:rFonts w:eastAsia="Calibri" w:cstheme="minorHAnsi"/>
                <w:color w:val="000000"/>
                <w:sz w:val="20"/>
                <w:szCs w:val="20"/>
              </w:rPr>
              <w:t xml:space="preserve"> </w:t>
            </w:r>
          </w:p>
          <w:p w14:paraId="67BAC036" w14:textId="77777777" w:rsidR="00BC4F79" w:rsidRPr="00BC4F79" w:rsidRDefault="00BC4F79" w:rsidP="00625D6F">
            <w:pPr>
              <w:numPr>
                <w:ilvl w:val="2"/>
                <w:numId w:val="25"/>
              </w:numPr>
              <w:spacing w:after="120" w:line="240" w:lineRule="auto"/>
              <w:jc w:val="both"/>
              <w:rPr>
                <w:rFonts w:eastAsia="Calibri" w:cstheme="minorHAnsi"/>
                <w:color w:val="000000"/>
                <w:sz w:val="20"/>
                <w:szCs w:val="20"/>
              </w:rPr>
            </w:pPr>
            <w:r w:rsidRPr="00BC4F79">
              <w:rPr>
                <w:rFonts w:eastAsia="Calibri" w:cstheme="minorHAnsi"/>
                <w:color w:val="000000"/>
                <w:sz w:val="20"/>
                <w:szCs w:val="20"/>
              </w:rPr>
              <w:t xml:space="preserve">the final combined scores and the final ranking of the </w:t>
            </w:r>
            <w:r w:rsidRPr="00BC4F79">
              <w:rPr>
                <w:rFonts w:eastAsia="Times New Roman" w:cstheme="minorHAnsi"/>
                <w:iCs/>
                <w:sz w:val="20"/>
                <w:szCs w:val="20"/>
              </w:rPr>
              <w:t>Applicants/</w:t>
            </w:r>
            <w:proofErr w:type="gramStart"/>
            <w:r w:rsidRPr="00BC4F79">
              <w:rPr>
                <w:rFonts w:eastAsia="Times New Roman" w:cstheme="minorHAnsi"/>
                <w:iCs/>
                <w:sz w:val="20"/>
                <w:szCs w:val="20"/>
              </w:rPr>
              <w:t>Proposers</w:t>
            </w:r>
            <w:r w:rsidRPr="00BC4F79">
              <w:rPr>
                <w:rFonts w:eastAsia="Calibri" w:cstheme="minorHAnsi"/>
                <w:color w:val="000000"/>
                <w:sz w:val="20"/>
                <w:szCs w:val="20"/>
              </w:rPr>
              <w:t>;</w:t>
            </w:r>
            <w:proofErr w:type="gramEnd"/>
            <w:r w:rsidRPr="00BC4F79">
              <w:rPr>
                <w:rFonts w:eastAsia="Calibri" w:cstheme="minorHAnsi"/>
                <w:color w:val="000000"/>
                <w:sz w:val="20"/>
                <w:szCs w:val="20"/>
              </w:rPr>
              <w:t xml:space="preserve"> </w:t>
            </w:r>
          </w:p>
          <w:p w14:paraId="026CC8FD" w14:textId="77777777" w:rsidR="00BC4F79" w:rsidRPr="00BC4F79" w:rsidRDefault="00BC4F79" w:rsidP="00625D6F">
            <w:pPr>
              <w:numPr>
                <w:ilvl w:val="2"/>
                <w:numId w:val="25"/>
              </w:numPr>
              <w:spacing w:after="120" w:line="240" w:lineRule="auto"/>
              <w:jc w:val="both"/>
              <w:rPr>
                <w:rFonts w:eastAsia="Calibri" w:cstheme="minorHAnsi"/>
                <w:color w:val="000000"/>
                <w:sz w:val="20"/>
                <w:szCs w:val="20"/>
              </w:rPr>
            </w:pPr>
            <w:r w:rsidRPr="00BC4F79">
              <w:rPr>
                <w:rFonts w:eastAsia="Calibri" w:cstheme="minorHAnsi"/>
                <w:color w:val="000000"/>
                <w:sz w:val="20"/>
                <w:szCs w:val="20"/>
              </w:rPr>
              <w:t xml:space="preserve">a statement of the reason(s) why the recipient’s Proposal was unsuccessful, unless the combined score in (f) above already reveals the </w:t>
            </w:r>
            <w:proofErr w:type="gramStart"/>
            <w:r w:rsidRPr="00BC4F79">
              <w:rPr>
                <w:rFonts w:eastAsia="Calibri" w:cstheme="minorHAnsi"/>
                <w:color w:val="000000"/>
                <w:sz w:val="20"/>
                <w:szCs w:val="20"/>
              </w:rPr>
              <w:t>reason;</w:t>
            </w:r>
            <w:proofErr w:type="gramEnd"/>
          </w:p>
          <w:p w14:paraId="22673E92" w14:textId="77777777" w:rsidR="00BC4F79" w:rsidRPr="00BC4F79" w:rsidRDefault="00BC4F79" w:rsidP="00625D6F">
            <w:pPr>
              <w:numPr>
                <w:ilvl w:val="2"/>
                <w:numId w:val="25"/>
              </w:numPr>
              <w:spacing w:after="120" w:line="240" w:lineRule="auto"/>
              <w:jc w:val="both"/>
              <w:rPr>
                <w:rFonts w:eastAsia="Times New Roman" w:cstheme="minorHAnsi"/>
                <w:sz w:val="20"/>
                <w:szCs w:val="20"/>
              </w:rPr>
            </w:pPr>
            <w:r w:rsidRPr="00BC4F79">
              <w:rPr>
                <w:rFonts w:eastAsia="Times New Roman" w:cstheme="minorHAnsi"/>
                <w:sz w:val="20"/>
                <w:szCs w:val="20"/>
              </w:rPr>
              <w:t>the expiry date of the Standstill Period; and</w:t>
            </w:r>
          </w:p>
          <w:p w14:paraId="6DD82468" w14:textId="77777777" w:rsidR="00BC4F79" w:rsidRPr="00BC4F79" w:rsidRDefault="00BC4F79" w:rsidP="00625D6F">
            <w:pPr>
              <w:numPr>
                <w:ilvl w:val="2"/>
                <w:numId w:val="25"/>
              </w:numPr>
              <w:spacing w:after="120" w:line="240" w:lineRule="auto"/>
              <w:jc w:val="both"/>
              <w:rPr>
                <w:rFonts w:eastAsia="Calibri" w:cstheme="minorHAnsi"/>
                <w:color w:val="000000"/>
                <w:sz w:val="20"/>
                <w:szCs w:val="20"/>
              </w:rPr>
            </w:pPr>
            <w:r w:rsidRPr="00BC4F79">
              <w:rPr>
                <w:rFonts w:eastAsia="Calibri" w:cstheme="minorHAnsi"/>
                <w:color w:val="000000"/>
                <w:sz w:val="20"/>
                <w:szCs w:val="20"/>
              </w:rPr>
              <w:lastRenderedPageBreak/>
              <w:t xml:space="preserve">instructions on how to request a debriefing and/or submit a complaint during the Standstill Period. </w:t>
            </w:r>
          </w:p>
        </w:tc>
      </w:tr>
      <w:tr w:rsidR="00BC4F79" w:rsidRPr="00BC4F79" w14:paraId="47D356E1" w14:textId="77777777" w:rsidTr="00762F59">
        <w:tc>
          <w:tcPr>
            <w:tcW w:w="2455" w:type="dxa"/>
          </w:tcPr>
          <w:p w14:paraId="5C51E474" w14:textId="77777777" w:rsidR="00BC4F79" w:rsidRPr="00BC4F79" w:rsidRDefault="00BC4F79" w:rsidP="00BC4F79">
            <w:pPr>
              <w:spacing w:line="240" w:lineRule="auto"/>
              <w:ind w:left="720" w:hanging="360"/>
              <w:outlineLvl w:val="4"/>
              <w:rPr>
                <w:rFonts w:eastAsia="Times New Roman" w:cstheme="minorHAnsi"/>
                <w:b/>
                <w:sz w:val="20"/>
                <w:szCs w:val="20"/>
              </w:rPr>
            </w:pPr>
            <w:bookmarkStart w:id="71" w:name="_Toc438438866"/>
            <w:bookmarkStart w:id="72" w:name="_Toc438532660"/>
            <w:bookmarkStart w:id="73" w:name="_Toc438734010"/>
            <w:bookmarkStart w:id="74" w:name="_Toc438907046"/>
            <w:bookmarkStart w:id="75" w:name="_Toc438907245"/>
            <w:bookmarkStart w:id="76" w:name="_Toc454358629"/>
            <w:bookmarkStart w:id="77" w:name="_Toc494209459"/>
            <w:r w:rsidRPr="00BC4F79">
              <w:rPr>
                <w:rFonts w:eastAsia="Times New Roman" w:cstheme="minorHAnsi"/>
                <w:b/>
                <w:sz w:val="20"/>
                <w:szCs w:val="20"/>
              </w:rPr>
              <w:lastRenderedPageBreak/>
              <w:t>Notification of Award</w:t>
            </w:r>
            <w:bookmarkEnd w:id="71"/>
            <w:bookmarkEnd w:id="72"/>
            <w:bookmarkEnd w:id="73"/>
            <w:bookmarkEnd w:id="74"/>
            <w:bookmarkEnd w:id="75"/>
            <w:bookmarkEnd w:id="76"/>
            <w:bookmarkEnd w:id="77"/>
            <w:r w:rsidRPr="00BC4F79">
              <w:rPr>
                <w:rFonts w:eastAsia="Times New Roman" w:cstheme="minorHAnsi"/>
                <w:b/>
                <w:sz w:val="20"/>
                <w:szCs w:val="20"/>
              </w:rPr>
              <w:t xml:space="preserve"> </w:t>
            </w:r>
          </w:p>
        </w:tc>
        <w:tc>
          <w:tcPr>
            <w:tcW w:w="6429" w:type="dxa"/>
          </w:tcPr>
          <w:p w14:paraId="4CB6173F" w14:textId="77777777" w:rsidR="00BC4F79" w:rsidRPr="00BC4F79" w:rsidRDefault="00BC4F79" w:rsidP="00625D6F">
            <w:pPr>
              <w:numPr>
                <w:ilvl w:val="1"/>
                <w:numId w:val="24"/>
              </w:numPr>
              <w:tabs>
                <w:tab w:val="left" w:pos="774"/>
              </w:tabs>
              <w:spacing w:after="120" w:line="240" w:lineRule="auto"/>
              <w:ind w:left="450" w:hanging="450"/>
              <w:jc w:val="both"/>
              <w:rPr>
                <w:rFonts w:eastAsia="Times New Roman" w:cstheme="minorHAnsi"/>
                <w:b/>
                <w:sz w:val="20"/>
                <w:szCs w:val="20"/>
              </w:rPr>
            </w:pPr>
            <w:r w:rsidRPr="00BC4F79">
              <w:rPr>
                <w:rFonts w:eastAsia="Times New Roman" w:cstheme="minorHAnsi"/>
                <w:sz w:val="20"/>
                <w:szCs w:val="20"/>
              </w:rPr>
              <w:t xml:space="preserve">Upon expiry of the Standstill Period, or any extension thereof, and upon satisfactorily addressing any complaint that has been filed within the Standstill Period, DBJ shall, send a notification of award to the successful </w:t>
            </w:r>
            <w:r w:rsidRPr="00BC4F79">
              <w:rPr>
                <w:rFonts w:eastAsia="Times New Roman" w:cstheme="minorHAnsi"/>
                <w:iCs/>
                <w:sz w:val="20"/>
                <w:szCs w:val="20"/>
              </w:rPr>
              <w:t>Applicant/Proposer</w:t>
            </w:r>
            <w:r w:rsidRPr="00BC4F79" w:rsidDel="008C5569">
              <w:rPr>
                <w:rFonts w:eastAsia="Times New Roman" w:cstheme="minorHAnsi"/>
                <w:sz w:val="20"/>
                <w:szCs w:val="20"/>
              </w:rPr>
              <w:t xml:space="preserve"> </w:t>
            </w:r>
            <w:r w:rsidRPr="00BC4F79">
              <w:rPr>
                <w:rFonts w:eastAsia="Times New Roman" w:cstheme="minorHAnsi"/>
                <w:sz w:val="20"/>
                <w:szCs w:val="20"/>
              </w:rPr>
              <w:t xml:space="preserve">confirming DBJ’s intention to award the Contract to the successful </w:t>
            </w:r>
            <w:r w:rsidRPr="00BC4F79">
              <w:rPr>
                <w:rFonts w:eastAsia="Times New Roman" w:cstheme="minorHAnsi"/>
                <w:iCs/>
                <w:sz w:val="20"/>
                <w:szCs w:val="20"/>
              </w:rPr>
              <w:t>Applicant/Proposer</w:t>
            </w:r>
            <w:r w:rsidRPr="00BC4F79" w:rsidDel="008C5569">
              <w:rPr>
                <w:rFonts w:eastAsia="Times New Roman" w:cstheme="minorHAnsi"/>
                <w:sz w:val="20"/>
                <w:szCs w:val="20"/>
              </w:rPr>
              <w:t xml:space="preserve"> </w:t>
            </w:r>
            <w:r w:rsidRPr="00BC4F79">
              <w:rPr>
                <w:rFonts w:eastAsia="Times New Roman" w:cstheme="minorHAnsi"/>
                <w:sz w:val="20"/>
                <w:szCs w:val="20"/>
              </w:rPr>
              <w:t xml:space="preserve"> and requesting the successful </w:t>
            </w:r>
            <w:r w:rsidRPr="00BC4F79">
              <w:rPr>
                <w:rFonts w:eastAsia="Times New Roman" w:cstheme="minorHAnsi"/>
                <w:iCs/>
                <w:sz w:val="20"/>
                <w:szCs w:val="20"/>
              </w:rPr>
              <w:t>Applicant/Proposer</w:t>
            </w:r>
            <w:r w:rsidRPr="00BC4F79" w:rsidDel="008C5569">
              <w:rPr>
                <w:rFonts w:eastAsia="Times New Roman" w:cstheme="minorHAnsi"/>
                <w:sz w:val="20"/>
                <w:szCs w:val="20"/>
              </w:rPr>
              <w:t xml:space="preserve"> </w:t>
            </w:r>
            <w:r w:rsidRPr="00BC4F79">
              <w:rPr>
                <w:rFonts w:eastAsia="Times New Roman" w:cstheme="minorHAnsi"/>
                <w:sz w:val="20"/>
                <w:szCs w:val="20"/>
              </w:rPr>
              <w:t xml:space="preserve"> to sign and return the draft negotiated Contract within eight (8) Business Days from the date of receipt of such notification.   </w:t>
            </w:r>
          </w:p>
          <w:p w14:paraId="00A6B551" w14:textId="77777777" w:rsidR="00BC4F79" w:rsidRPr="00BC4F79" w:rsidRDefault="00BC4F79" w:rsidP="00BC4F79">
            <w:pPr>
              <w:tabs>
                <w:tab w:val="left" w:pos="774"/>
              </w:tabs>
              <w:spacing w:after="120" w:line="240" w:lineRule="auto"/>
              <w:ind w:left="450"/>
              <w:jc w:val="both"/>
              <w:rPr>
                <w:rFonts w:eastAsia="Times New Roman" w:cstheme="minorHAnsi"/>
                <w:sz w:val="20"/>
                <w:szCs w:val="20"/>
                <w:u w:val="single"/>
              </w:rPr>
            </w:pPr>
            <w:r w:rsidRPr="00BC4F79">
              <w:rPr>
                <w:rFonts w:eastAsia="Times New Roman" w:cstheme="minorHAnsi"/>
                <w:sz w:val="20"/>
                <w:szCs w:val="20"/>
                <w:u w:val="single"/>
              </w:rPr>
              <w:t>Contract Award Notice</w:t>
            </w:r>
          </w:p>
          <w:p w14:paraId="16868758" w14:textId="77777777" w:rsidR="00BC4F79" w:rsidRPr="00BC4F79" w:rsidRDefault="00BC4F79" w:rsidP="00BC4F79">
            <w:pPr>
              <w:tabs>
                <w:tab w:val="left" w:pos="774"/>
              </w:tabs>
              <w:spacing w:after="120" w:line="240" w:lineRule="auto"/>
              <w:ind w:left="450"/>
              <w:jc w:val="both"/>
              <w:rPr>
                <w:rFonts w:eastAsia="Times New Roman" w:cstheme="minorHAnsi"/>
                <w:b/>
                <w:sz w:val="20"/>
                <w:szCs w:val="20"/>
              </w:rPr>
            </w:pPr>
            <w:r w:rsidRPr="00BC4F79">
              <w:rPr>
                <w:rFonts w:eastAsia="Times New Roman" w:cstheme="minorHAnsi"/>
                <w:sz w:val="20"/>
                <w:szCs w:val="20"/>
              </w:rPr>
              <w:t xml:space="preserve">Within ten (10) Business Days from the date of notification of award such request, DBJ shall publish the Contract Award Notice which shall contain, at a minimum, the following information: </w:t>
            </w:r>
          </w:p>
          <w:p w14:paraId="4203072C" w14:textId="77777777" w:rsidR="00BC4F79" w:rsidRPr="00BC4F79" w:rsidRDefault="00BC4F79" w:rsidP="00625D6F">
            <w:pPr>
              <w:numPr>
                <w:ilvl w:val="0"/>
                <w:numId w:val="26"/>
              </w:numPr>
              <w:spacing w:after="120" w:line="240" w:lineRule="auto"/>
              <w:ind w:left="1105"/>
              <w:rPr>
                <w:rFonts w:eastAsia="Calibri" w:cstheme="minorHAnsi"/>
                <w:sz w:val="20"/>
                <w:szCs w:val="20"/>
              </w:rPr>
            </w:pPr>
            <w:r w:rsidRPr="00BC4F79">
              <w:rPr>
                <w:rFonts w:eastAsia="Calibri" w:cstheme="minorHAnsi"/>
                <w:sz w:val="20"/>
                <w:szCs w:val="20"/>
              </w:rPr>
              <w:t xml:space="preserve">name and address of the </w:t>
            </w:r>
            <w:proofErr w:type="gramStart"/>
            <w:r w:rsidRPr="00BC4F79">
              <w:rPr>
                <w:rFonts w:eastAsia="Calibri" w:cstheme="minorHAnsi"/>
                <w:sz w:val="20"/>
                <w:szCs w:val="20"/>
              </w:rPr>
              <w:t>DBJ;</w:t>
            </w:r>
            <w:proofErr w:type="gramEnd"/>
          </w:p>
          <w:p w14:paraId="0936FDEA" w14:textId="77777777" w:rsidR="00BC4F79" w:rsidRPr="00BC4F79" w:rsidRDefault="00BC4F79" w:rsidP="00625D6F">
            <w:pPr>
              <w:numPr>
                <w:ilvl w:val="0"/>
                <w:numId w:val="26"/>
              </w:numPr>
              <w:spacing w:after="120" w:line="240" w:lineRule="auto"/>
              <w:ind w:left="1105"/>
              <w:rPr>
                <w:rFonts w:eastAsia="Calibri" w:cstheme="minorHAnsi"/>
                <w:sz w:val="20"/>
                <w:szCs w:val="20"/>
              </w:rPr>
            </w:pPr>
            <w:r w:rsidRPr="00BC4F79">
              <w:rPr>
                <w:rFonts w:eastAsia="Calibri" w:cstheme="minorHAnsi"/>
                <w:sz w:val="20"/>
                <w:szCs w:val="20"/>
              </w:rPr>
              <w:t xml:space="preserve">name and reference number of the contract being awarded, and the selection method </w:t>
            </w:r>
            <w:proofErr w:type="gramStart"/>
            <w:r w:rsidRPr="00BC4F79">
              <w:rPr>
                <w:rFonts w:eastAsia="Calibri" w:cstheme="minorHAnsi"/>
                <w:sz w:val="20"/>
                <w:szCs w:val="20"/>
              </w:rPr>
              <w:t>used;</w:t>
            </w:r>
            <w:proofErr w:type="gramEnd"/>
            <w:r w:rsidRPr="00BC4F79">
              <w:rPr>
                <w:rFonts w:eastAsia="Calibri" w:cstheme="minorHAnsi"/>
                <w:sz w:val="20"/>
                <w:szCs w:val="20"/>
              </w:rPr>
              <w:t xml:space="preserve"> </w:t>
            </w:r>
          </w:p>
          <w:p w14:paraId="1DB7AA6A" w14:textId="77777777" w:rsidR="00BC4F79" w:rsidRPr="00BC4F79" w:rsidRDefault="00BC4F79" w:rsidP="00625D6F">
            <w:pPr>
              <w:numPr>
                <w:ilvl w:val="0"/>
                <w:numId w:val="26"/>
              </w:numPr>
              <w:spacing w:after="120" w:line="240" w:lineRule="auto"/>
              <w:ind w:left="1105"/>
              <w:rPr>
                <w:rFonts w:eastAsia="Calibri" w:cstheme="minorHAnsi"/>
                <w:sz w:val="20"/>
                <w:szCs w:val="20"/>
              </w:rPr>
            </w:pPr>
            <w:r w:rsidRPr="00BC4F79">
              <w:rPr>
                <w:rFonts w:eastAsia="Calibri" w:cstheme="minorHAnsi"/>
                <w:sz w:val="20"/>
                <w:szCs w:val="20"/>
              </w:rPr>
              <w:t xml:space="preserve">names of the </w:t>
            </w:r>
            <w:r w:rsidRPr="00BC4F79">
              <w:rPr>
                <w:rFonts w:eastAsia="Times New Roman" w:cstheme="minorHAnsi"/>
                <w:iCs/>
                <w:sz w:val="20"/>
                <w:szCs w:val="20"/>
              </w:rPr>
              <w:t>Applicants/Proposers</w:t>
            </w:r>
            <w:r w:rsidRPr="00BC4F79">
              <w:rPr>
                <w:rFonts w:eastAsia="Calibri" w:cstheme="minorHAnsi"/>
                <w:sz w:val="20"/>
                <w:szCs w:val="20"/>
              </w:rPr>
              <w:t xml:space="preserve"> that submitted proposals, and their proposal prices as read out at financial proposal opening, and as </w:t>
            </w:r>
            <w:proofErr w:type="gramStart"/>
            <w:r w:rsidRPr="00BC4F79">
              <w:rPr>
                <w:rFonts w:eastAsia="Calibri" w:cstheme="minorHAnsi"/>
                <w:sz w:val="20"/>
                <w:szCs w:val="20"/>
              </w:rPr>
              <w:t>evaluated;</w:t>
            </w:r>
            <w:proofErr w:type="gramEnd"/>
            <w:r w:rsidRPr="00BC4F79">
              <w:rPr>
                <w:rFonts w:eastAsia="Calibri" w:cstheme="minorHAnsi"/>
                <w:sz w:val="20"/>
                <w:szCs w:val="20"/>
              </w:rPr>
              <w:t xml:space="preserve"> </w:t>
            </w:r>
          </w:p>
          <w:p w14:paraId="2A116506" w14:textId="77777777" w:rsidR="00BC4F79" w:rsidRPr="00BC4F79" w:rsidRDefault="00BC4F79" w:rsidP="00625D6F">
            <w:pPr>
              <w:numPr>
                <w:ilvl w:val="0"/>
                <w:numId w:val="26"/>
              </w:numPr>
              <w:spacing w:after="120" w:line="240" w:lineRule="auto"/>
              <w:ind w:left="1105"/>
              <w:rPr>
                <w:rFonts w:eastAsia="Calibri" w:cstheme="minorHAnsi"/>
                <w:sz w:val="20"/>
                <w:szCs w:val="20"/>
              </w:rPr>
            </w:pPr>
            <w:r w:rsidRPr="00BC4F79">
              <w:rPr>
                <w:rFonts w:eastAsia="Calibri" w:cstheme="minorHAnsi"/>
                <w:sz w:val="20"/>
                <w:szCs w:val="20"/>
              </w:rPr>
              <w:t xml:space="preserve">names of all </w:t>
            </w:r>
            <w:r w:rsidRPr="00BC4F79">
              <w:rPr>
                <w:rFonts w:eastAsia="Times New Roman" w:cstheme="minorHAnsi"/>
                <w:iCs/>
                <w:sz w:val="20"/>
                <w:szCs w:val="20"/>
              </w:rPr>
              <w:t>Applicants/Proposers</w:t>
            </w:r>
            <w:r w:rsidRPr="00BC4F79">
              <w:rPr>
                <w:rFonts w:eastAsia="Calibri" w:cstheme="minorHAnsi"/>
                <w:sz w:val="20"/>
                <w:szCs w:val="20"/>
              </w:rPr>
              <w:t xml:space="preserve"> whose Proposals were rejected or were not evaluated, with the reasons </w:t>
            </w:r>
            <w:proofErr w:type="gramStart"/>
            <w:r w:rsidRPr="00BC4F79">
              <w:rPr>
                <w:rFonts w:eastAsia="Calibri" w:cstheme="minorHAnsi"/>
                <w:sz w:val="20"/>
                <w:szCs w:val="20"/>
              </w:rPr>
              <w:t>therefor;</w:t>
            </w:r>
            <w:proofErr w:type="gramEnd"/>
            <w:r w:rsidRPr="00BC4F79">
              <w:rPr>
                <w:rFonts w:eastAsia="Calibri" w:cstheme="minorHAnsi"/>
                <w:sz w:val="20"/>
                <w:szCs w:val="20"/>
              </w:rPr>
              <w:t xml:space="preserve"> </w:t>
            </w:r>
          </w:p>
          <w:p w14:paraId="785D59B7" w14:textId="77777777" w:rsidR="00BC4F79" w:rsidRPr="00BC4F79" w:rsidRDefault="00BC4F79" w:rsidP="00625D6F">
            <w:pPr>
              <w:numPr>
                <w:ilvl w:val="0"/>
                <w:numId w:val="26"/>
              </w:numPr>
              <w:spacing w:after="120" w:line="240" w:lineRule="auto"/>
              <w:ind w:left="1105"/>
              <w:rPr>
                <w:rFonts w:eastAsia="Times New Roman" w:cstheme="minorHAnsi"/>
                <w:sz w:val="20"/>
                <w:szCs w:val="20"/>
              </w:rPr>
            </w:pPr>
            <w:r w:rsidRPr="00BC4F79">
              <w:rPr>
                <w:rFonts w:eastAsia="Calibri" w:cstheme="minorHAnsi"/>
                <w:sz w:val="20"/>
                <w:szCs w:val="20"/>
              </w:rPr>
              <w:t xml:space="preserve">the name of the successful consultant, the final total contract price, the contract </w:t>
            </w:r>
            <w:proofErr w:type="gramStart"/>
            <w:r w:rsidRPr="00BC4F79">
              <w:rPr>
                <w:rFonts w:eastAsia="Calibri" w:cstheme="minorHAnsi"/>
                <w:sz w:val="20"/>
                <w:szCs w:val="20"/>
              </w:rPr>
              <w:t>duration</w:t>
            </w:r>
            <w:proofErr w:type="gramEnd"/>
            <w:r w:rsidRPr="00BC4F79">
              <w:rPr>
                <w:rFonts w:eastAsia="Calibri" w:cstheme="minorHAnsi"/>
                <w:sz w:val="20"/>
                <w:szCs w:val="20"/>
              </w:rPr>
              <w:t xml:space="preserve"> and a summary of its scope; and.</w:t>
            </w:r>
          </w:p>
          <w:p w14:paraId="3047A6B6" w14:textId="19892D5C" w:rsidR="00BC4F79" w:rsidRPr="00BC4F79" w:rsidRDefault="00BC4F79" w:rsidP="00625D6F">
            <w:pPr>
              <w:numPr>
                <w:ilvl w:val="1"/>
                <w:numId w:val="24"/>
              </w:numPr>
              <w:spacing w:after="0" w:line="240" w:lineRule="auto"/>
              <w:ind w:left="450" w:hanging="450"/>
              <w:jc w:val="both"/>
              <w:rPr>
                <w:rFonts w:eastAsia="Times New Roman" w:cstheme="minorHAnsi"/>
                <w:sz w:val="20"/>
                <w:szCs w:val="20"/>
              </w:rPr>
            </w:pPr>
            <w:r w:rsidRPr="00BC4F79">
              <w:rPr>
                <w:rFonts w:eastAsia="Times New Roman" w:cstheme="minorHAnsi"/>
                <w:sz w:val="20"/>
                <w:szCs w:val="20"/>
              </w:rPr>
              <w:t xml:space="preserve">The Contract Award Notice shall be published on the DBJ’s website with free access if available, or in at least one newspaper of national circulation in Jamaica, or in the official gazette. </w:t>
            </w:r>
          </w:p>
        </w:tc>
      </w:tr>
      <w:tr w:rsidR="00BC4F79" w:rsidRPr="00BC4F79" w14:paraId="4021A599" w14:textId="77777777" w:rsidTr="00762F59">
        <w:tc>
          <w:tcPr>
            <w:tcW w:w="2455" w:type="dxa"/>
          </w:tcPr>
          <w:p w14:paraId="11B8C983" w14:textId="21DDF7E9" w:rsidR="00BC4F79" w:rsidRPr="00BC4F79" w:rsidRDefault="00BC4F79" w:rsidP="00BC4F79">
            <w:pPr>
              <w:spacing w:line="240" w:lineRule="auto"/>
              <w:ind w:left="420" w:hanging="360"/>
              <w:outlineLvl w:val="4"/>
              <w:rPr>
                <w:rFonts w:eastAsia="Times New Roman" w:cstheme="minorHAnsi"/>
                <w:b/>
                <w:sz w:val="20"/>
                <w:szCs w:val="20"/>
              </w:rPr>
            </w:pPr>
            <w:bookmarkStart w:id="78" w:name="_Toc454358630"/>
            <w:bookmarkStart w:id="79" w:name="_Toc494209460"/>
            <w:r w:rsidRPr="00BC4F79">
              <w:rPr>
                <w:rFonts w:eastAsia="Times New Roman" w:cstheme="minorHAnsi"/>
                <w:b/>
                <w:sz w:val="20"/>
                <w:szCs w:val="20"/>
              </w:rPr>
              <w:t xml:space="preserve">Debriefing </w:t>
            </w:r>
            <w:bookmarkEnd w:id="78"/>
            <w:bookmarkEnd w:id="79"/>
          </w:p>
        </w:tc>
        <w:tc>
          <w:tcPr>
            <w:tcW w:w="6429" w:type="dxa"/>
          </w:tcPr>
          <w:p w14:paraId="79175CE9" w14:textId="77777777" w:rsidR="00BC4F79" w:rsidRPr="00BC4F79" w:rsidRDefault="00BC4F79" w:rsidP="00625D6F">
            <w:pPr>
              <w:numPr>
                <w:ilvl w:val="1"/>
                <w:numId w:val="24"/>
              </w:numPr>
              <w:tabs>
                <w:tab w:val="left" w:pos="774"/>
              </w:tabs>
              <w:spacing w:after="0" w:line="240" w:lineRule="auto"/>
              <w:ind w:left="450" w:hanging="450"/>
              <w:jc w:val="both"/>
              <w:rPr>
                <w:rFonts w:eastAsia="Times New Roman" w:cstheme="minorHAnsi"/>
                <w:sz w:val="20"/>
                <w:szCs w:val="20"/>
              </w:rPr>
            </w:pPr>
            <w:r w:rsidRPr="00BC4F79">
              <w:rPr>
                <w:rFonts w:eastAsia="Times New Roman" w:cstheme="minorHAnsi"/>
                <w:sz w:val="20"/>
                <w:szCs w:val="20"/>
              </w:rPr>
              <w:t xml:space="preserve">On receipt of the DBJ’s Notification of Intention to Award, an unsuccessful </w:t>
            </w:r>
            <w:r w:rsidRPr="00BC4F79">
              <w:rPr>
                <w:rFonts w:eastAsia="Times New Roman" w:cstheme="minorHAnsi"/>
                <w:iCs/>
                <w:sz w:val="20"/>
                <w:szCs w:val="20"/>
              </w:rPr>
              <w:t>Applicant/Proposer</w:t>
            </w:r>
            <w:r w:rsidRPr="00BC4F79">
              <w:rPr>
                <w:rFonts w:eastAsia="Calibri" w:cstheme="minorHAnsi"/>
                <w:sz w:val="20"/>
                <w:szCs w:val="20"/>
              </w:rPr>
              <w:t xml:space="preserve"> </w:t>
            </w:r>
            <w:r w:rsidRPr="00BC4F79">
              <w:rPr>
                <w:rFonts w:eastAsia="Times New Roman" w:cstheme="minorHAnsi"/>
                <w:sz w:val="20"/>
                <w:szCs w:val="20"/>
              </w:rPr>
              <w:t xml:space="preserve">has three (3) Business Days to make a written request to DBJ for a debriefing. The Client shall provide a debriefing to all unsuccessful </w:t>
            </w:r>
            <w:r w:rsidRPr="00BC4F79">
              <w:rPr>
                <w:rFonts w:eastAsia="Times New Roman" w:cstheme="minorHAnsi"/>
                <w:iCs/>
                <w:sz w:val="20"/>
                <w:szCs w:val="20"/>
              </w:rPr>
              <w:t>Applicants/Proposers</w:t>
            </w:r>
            <w:r w:rsidRPr="00BC4F79">
              <w:rPr>
                <w:rFonts w:eastAsia="Times New Roman" w:cstheme="minorHAnsi"/>
                <w:sz w:val="20"/>
                <w:szCs w:val="20"/>
              </w:rPr>
              <w:t xml:space="preserve"> whose request is received within this deadline.</w:t>
            </w:r>
          </w:p>
          <w:p w14:paraId="10544AF0" w14:textId="77777777" w:rsidR="00BC4F79" w:rsidRPr="00BC4F79" w:rsidRDefault="00BC4F79" w:rsidP="00625D6F">
            <w:pPr>
              <w:numPr>
                <w:ilvl w:val="1"/>
                <w:numId w:val="24"/>
              </w:numPr>
              <w:spacing w:after="0" w:line="240" w:lineRule="auto"/>
              <w:ind w:left="450" w:hanging="450"/>
              <w:jc w:val="both"/>
              <w:rPr>
                <w:rFonts w:eastAsia="Times New Roman" w:cstheme="minorHAnsi"/>
                <w:sz w:val="20"/>
                <w:szCs w:val="20"/>
              </w:rPr>
            </w:pPr>
            <w:r w:rsidRPr="00BC4F79">
              <w:rPr>
                <w:rFonts w:eastAsia="Times New Roman" w:cstheme="minorHAnsi"/>
                <w:sz w:val="20"/>
                <w:szCs w:val="20"/>
              </w:rPr>
              <w:t xml:space="preserve">Where a request for debriefing is received within the deadline, DBJ shall provide a debriefing within five (5) Business Days, unless DBJ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DBJ shall promptly inform, by the quickest means available, all </w:t>
            </w:r>
            <w:r w:rsidRPr="00BC4F79">
              <w:rPr>
                <w:rFonts w:eastAsia="Times New Roman" w:cstheme="minorHAnsi"/>
                <w:iCs/>
                <w:sz w:val="20"/>
                <w:szCs w:val="20"/>
              </w:rPr>
              <w:t>Applicants/Proposers</w:t>
            </w:r>
            <w:r w:rsidRPr="00BC4F79">
              <w:rPr>
                <w:rFonts w:eastAsia="Times New Roman" w:cstheme="minorHAnsi"/>
                <w:sz w:val="20"/>
                <w:szCs w:val="20"/>
              </w:rPr>
              <w:t xml:space="preserve"> of the extended standstill period</w:t>
            </w:r>
          </w:p>
          <w:p w14:paraId="0CCB8912" w14:textId="77777777" w:rsidR="00BC4F79" w:rsidRPr="00BC4F79" w:rsidRDefault="00BC4F79" w:rsidP="00625D6F">
            <w:pPr>
              <w:numPr>
                <w:ilvl w:val="1"/>
                <w:numId w:val="24"/>
              </w:numPr>
              <w:spacing w:after="0" w:line="240" w:lineRule="auto"/>
              <w:ind w:left="450" w:hanging="450"/>
              <w:jc w:val="both"/>
              <w:rPr>
                <w:rFonts w:eastAsia="Times New Roman" w:cstheme="minorHAnsi"/>
                <w:sz w:val="20"/>
                <w:szCs w:val="20"/>
              </w:rPr>
            </w:pPr>
            <w:r w:rsidRPr="00BC4F79">
              <w:rPr>
                <w:rFonts w:eastAsia="Times New Roman" w:cstheme="minorHAnsi"/>
                <w:sz w:val="20"/>
                <w:szCs w:val="20"/>
              </w:rPr>
              <w:t xml:space="preserve">Where a request for debriefing is received by the DBJ later than the three (3)-Business Day deadline, DBJ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77562DA2" w14:textId="77777777" w:rsidR="00BC4F79" w:rsidRPr="00BC4F79" w:rsidRDefault="00BC4F79" w:rsidP="00625D6F">
            <w:pPr>
              <w:numPr>
                <w:ilvl w:val="1"/>
                <w:numId w:val="24"/>
              </w:numPr>
              <w:spacing w:after="0" w:line="240" w:lineRule="auto"/>
              <w:ind w:left="450" w:hanging="450"/>
              <w:jc w:val="both"/>
              <w:rPr>
                <w:rFonts w:eastAsia="Times New Roman" w:cstheme="minorHAnsi"/>
                <w:sz w:val="20"/>
                <w:szCs w:val="20"/>
              </w:rPr>
            </w:pPr>
            <w:r w:rsidRPr="00BC4F79">
              <w:rPr>
                <w:rFonts w:eastAsia="Times New Roman" w:cstheme="minorHAnsi"/>
                <w:sz w:val="20"/>
                <w:szCs w:val="20"/>
              </w:rPr>
              <w:t xml:space="preserve">Debriefings of unsuccessful </w:t>
            </w:r>
            <w:r w:rsidRPr="00BC4F79">
              <w:rPr>
                <w:rFonts w:eastAsia="Times New Roman" w:cstheme="minorHAnsi"/>
                <w:iCs/>
                <w:sz w:val="20"/>
                <w:szCs w:val="20"/>
              </w:rPr>
              <w:t>Applicants/Proposers</w:t>
            </w:r>
            <w:r w:rsidRPr="00BC4F79">
              <w:rPr>
                <w:rFonts w:eastAsia="Times New Roman" w:cstheme="minorHAnsi"/>
                <w:sz w:val="20"/>
                <w:szCs w:val="20"/>
              </w:rPr>
              <w:t xml:space="preserve"> may be done in writing or verbally. The </w:t>
            </w:r>
            <w:r w:rsidRPr="00BC4F79">
              <w:rPr>
                <w:rFonts w:eastAsia="Times New Roman" w:cstheme="minorHAnsi"/>
                <w:iCs/>
                <w:sz w:val="20"/>
                <w:szCs w:val="20"/>
              </w:rPr>
              <w:t>Applicants/Proposers</w:t>
            </w:r>
            <w:r w:rsidRPr="00BC4F79">
              <w:rPr>
                <w:rFonts w:eastAsia="Times New Roman" w:cstheme="minorHAnsi"/>
                <w:sz w:val="20"/>
                <w:szCs w:val="20"/>
              </w:rPr>
              <w:t xml:space="preserve"> shall bear their own costs of attending such a debriefing meeting</w:t>
            </w:r>
          </w:p>
        </w:tc>
      </w:tr>
      <w:tr w:rsidR="00BC4F79" w:rsidRPr="00BC4F79" w14:paraId="49B82DA3" w14:textId="77777777" w:rsidTr="00762F59">
        <w:tc>
          <w:tcPr>
            <w:tcW w:w="2455" w:type="dxa"/>
          </w:tcPr>
          <w:p w14:paraId="65DAC143" w14:textId="77777777" w:rsidR="00BC4F79" w:rsidRPr="00BC4F79" w:rsidRDefault="00BC4F79" w:rsidP="00BC4F79">
            <w:pPr>
              <w:spacing w:line="240" w:lineRule="auto"/>
              <w:ind w:left="720" w:hanging="360"/>
              <w:outlineLvl w:val="4"/>
              <w:rPr>
                <w:rFonts w:eastAsia="Times New Roman" w:cstheme="minorHAnsi"/>
                <w:b/>
                <w:sz w:val="20"/>
                <w:szCs w:val="20"/>
              </w:rPr>
            </w:pPr>
            <w:bookmarkStart w:id="80" w:name="_Toc494209461"/>
            <w:r w:rsidRPr="00BC4F79">
              <w:rPr>
                <w:rFonts w:eastAsia="Times New Roman" w:cstheme="minorHAnsi"/>
                <w:b/>
                <w:sz w:val="20"/>
                <w:szCs w:val="20"/>
              </w:rPr>
              <w:lastRenderedPageBreak/>
              <w:t>Signing of Contract</w:t>
            </w:r>
            <w:bookmarkEnd w:id="80"/>
          </w:p>
        </w:tc>
        <w:tc>
          <w:tcPr>
            <w:tcW w:w="6429" w:type="dxa"/>
          </w:tcPr>
          <w:p w14:paraId="143509A6" w14:textId="77777777" w:rsidR="00BC4F79" w:rsidRPr="00BC4F79" w:rsidRDefault="00BC4F79" w:rsidP="00625D6F">
            <w:pPr>
              <w:numPr>
                <w:ilvl w:val="1"/>
                <w:numId w:val="24"/>
              </w:numPr>
              <w:tabs>
                <w:tab w:val="left" w:pos="774"/>
              </w:tabs>
              <w:spacing w:after="120" w:line="240" w:lineRule="auto"/>
              <w:ind w:left="450" w:hanging="450"/>
              <w:jc w:val="both"/>
              <w:rPr>
                <w:rFonts w:eastAsia="Times New Roman" w:cstheme="minorHAnsi"/>
                <w:b/>
                <w:sz w:val="20"/>
                <w:szCs w:val="20"/>
              </w:rPr>
            </w:pPr>
            <w:r w:rsidRPr="00BC4F79">
              <w:rPr>
                <w:rFonts w:eastAsia="Times New Roman" w:cstheme="minorHAnsi"/>
                <w:sz w:val="20"/>
                <w:szCs w:val="20"/>
              </w:rPr>
              <w:t xml:space="preserve">The Contract shall be signed promptly after expiry of the Standstill Period, or any extension thereof, and upon satisfactorily addressing any complaint that has been filed within the Standstill Period. </w:t>
            </w:r>
          </w:p>
          <w:p w14:paraId="51BFE4C5" w14:textId="2CDC2272" w:rsidR="00BC4F79" w:rsidRPr="00762F59" w:rsidRDefault="00BC4F79" w:rsidP="00625D6F">
            <w:pPr>
              <w:numPr>
                <w:ilvl w:val="1"/>
                <w:numId w:val="24"/>
              </w:numPr>
              <w:spacing w:after="0" w:line="240" w:lineRule="auto"/>
              <w:ind w:left="450" w:hanging="450"/>
              <w:jc w:val="both"/>
              <w:rPr>
                <w:rFonts w:eastAsia="Times New Roman" w:cstheme="minorHAnsi"/>
                <w:sz w:val="20"/>
                <w:szCs w:val="20"/>
              </w:rPr>
            </w:pPr>
            <w:r w:rsidRPr="00BC4F79">
              <w:rPr>
                <w:rFonts w:eastAsia="Times New Roman" w:cstheme="minorHAnsi"/>
                <w:sz w:val="20"/>
                <w:szCs w:val="20"/>
              </w:rPr>
              <w:t xml:space="preserve">The </w:t>
            </w:r>
            <w:r w:rsidRPr="00BC4F79">
              <w:rPr>
                <w:rFonts w:eastAsia="Times New Roman" w:cstheme="minorHAnsi"/>
                <w:iCs/>
                <w:sz w:val="20"/>
                <w:szCs w:val="20"/>
              </w:rPr>
              <w:t>Applicant/Proposer</w:t>
            </w:r>
            <w:r w:rsidRPr="00BC4F79">
              <w:rPr>
                <w:rFonts w:eastAsia="Times New Roman" w:cstheme="minorHAnsi"/>
                <w:sz w:val="20"/>
                <w:szCs w:val="20"/>
              </w:rPr>
              <w:t xml:space="preserve"> is expected to commence the assignment on the date and at the location specified by DBJ.</w:t>
            </w:r>
          </w:p>
        </w:tc>
      </w:tr>
    </w:tbl>
    <w:p w14:paraId="78BD6D41" w14:textId="48361C57" w:rsidR="00007EBD" w:rsidRDefault="00007EBD" w:rsidP="00757C87">
      <w:pPr>
        <w:pStyle w:val="LightGrid-Accent31"/>
        <w:spacing w:line="360" w:lineRule="auto"/>
        <w:ind w:left="1440"/>
        <w:rPr>
          <w:rFonts w:eastAsia="MS Gothic"/>
          <w:b/>
          <w:bCs/>
          <w:color w:val="0070C0"/>
          <w:lang w:val="en-GB"/>
        </w:rPr>
      </w:pPr>
    </w:p>
    <w:p w14:paraId="5EEA0614" w14:textId="77777777" w:rsidR="00007EBD" w:rsidRDefault="00007EBD">
      <w:pPr>
        <w:spacing w:after="160" w:line="259" w:lineRule="auto"/>
        <w:rPr>
          <w:rFonts w:ascii="Cambria" w:eastAsia="MS Gothic" w:hAnsi="Cambria" w:cs="Times New Roman"/>
          <w:b/>
          <w:bCs/>
          <w:color w:val="0070C0"/>
          <w:sz w:val="24"/>
          <w:szCs w:val="24"/>
          <w:lang w:val="en-GB"/>
        </w:rPr>
      </w:pPr>
      <w:r>
        <w:rPr>
          <w:rFonts w:eastAsia="MS Gothic"/>
          <w:b/>
          <w:bCs/>
          <w:color w:val="0070C0"/>
          <w:lang w:val="en-GB"/>
        </w:rPr>
        <w:br w:type="page"/>
      </w:r>
    </w:p>
    <w:p w14:paraId="10D5D688" w14:textId="3E9DD59A" w:rsidR="005C2C62" w:rsidRPr="00007EBD" w:rsidRDefault="001176F7" w:rsidP="001176F7">
      <w:pPr>
        <w:pStyle w:val="LightGrid-Accent31"/>
        <w:spacing w:line="360" w:lineRule="auto"/>
        <w:ind w:left="0"/>
        <w:rPr>
          <w:rFonts w:eastAsia="MS Gothic"/>
          <w:b/>
          <w:bCs/>
          <w:color w:val="0070C0"/>
          <w:lang w:val="en-GB"/>
        </w:rPr>
      </w:pPr>
      <w:r>
        <w:rPr>
          <w:rFonts w:eastAsia="MS Gothic"/>
          <w:b/>
          <w:bCs/>
          <w:color w:val="0070C0"/>
          <w:lang w:val="en-GB"/>
        </w:rPr>
        <w:lastRenderedPageBreak/>
        <w:t>V</w:t>
      </w:r>
      <w:r w:rsidRPr="00EE7E33">
        <w:rPr>
          <w:rFonts w:eastAsia="MS Gothic"/>
          <w:b/>
          <w:bCs/>
          <w:color w:val="0070C0"/>
          <w:lang w:val="en-GB"/>
        </w:rPr>
        <w:t xml:space="preserve">. </w:t>
      </w:r>
      <w:r w:rsidR="004A2947" w:rsidRPr="00EE7E33">
        <w:rPr>
          <w:rFonts w:eastAsia="MS Gothic"/>
          <w:b/>
          <w:bCs/>
          <w:color w:val="0070C0"/>
          <w:lang w:val="en-GB"/>
        </w:rPr>
        <w:t>DEVELOPMENT BANK OF JAMAICA’S</w:t>
      </w:r>
      <w:r w:rsidR="00101229" w:rsidRPr="00EE7E33">
        <w:rPr>
          <w:rFonts w:eastAsia="MS Gothic"/>
          <w:b/>
          <w:bCs/>
          <w:color w:val="0070C0"/>
          <w:lang w:val="en-GB"/>
        </w:rPr>
        <w:t xml:space="preserve"> </w:t>
      </w:r>
      <w:r w:rsidR="006C173E" w:rsidRPr="00EE7E33">
        <w:rPr>
          <w:rFonts w:eastAsia="MS Gothic"/>
          <w:b/>
          <w:bCs/>
          <w:color w:val="0070C0"/>
          <w:lang w:val="en-GB"/>
        </w:rPr>
        <w:t>FRAUD AND CORRUPTION</w:t>
      </w:r>
      <w:r w:rsidR="00101229" w:rsidRPr="00007EBD">
        <w:rPr>
          <w:rFonts w:eastAsia="MS Gothic"/>
          <w:b/>
          <w:bCs/>
          <w:color w:val="0070C0"/>
          <w:lang w:val="en-GB"/>
        </w:rPr>
        <w:t xml:space="preserve"> GUIDELINES</w:t>
      </w:r>
    </w:p>
    <w:p w14:paraId="50EF06B6" w14:textId="77777777" w:rsidR="00E235E6" w:rsidRPr="00242F53" w:rsidRDefault="00E235E6" w:rsidP="00625D6F">
      <w:pPr>
        <w:numPr>
          <w:ilvl w:val="0"/>
          <w:numId w:val="21"/>
        </w:numPr>
        <w:spacing w:after="120" w:line="240" w:lineRule="auto"/>
        <w:ind w:left="360"/>
        <w:jc w:val="both"/>
        <w:rPr>
          <w:rFonts w:cstheme="minorHAnsi"/>
          <w:b/>
          <w:sz w:val="20"/>
          <w:szCs w:val="20"/>
        </w:rPr>
      </w:pPr>
      <w:r w:rsidRPr="00242F53">
        <w:rPr>
          <w:rFonts w:cstheme="minorHAnsi"/>
          <w:b/>
          <w:sz w:val="20"/>
          <w:szCs w:val="20"/>
        </w:rPr>
        <w:t>Purpose</w:t>
      </w:r>
    </w:p>
    <w:p w14:paraId="7CE15645" w14:textId="62B6E791" w:rsidR="00E235E6" w:rsidRPr="00242F53" w:rsidRDefault="00E235E6" w:rsidP="00625D6F">
      <w:pPr>
        <w:pStyle w:val="ListParagraph"/>
        <w:numPr>
          <w:ilvl w:val="1"/>
          <w:numId w:val="21"/>
        </w:numPr>
        <w:spacing w:after="120"/>
        <w:ind w:left="360"/>
        <w:contextualSpacing w:val="0"/>
        <w:jc w:val="both"/>
        <w:rPr>
          <w:rFonts w:asciiTheme="minorHAnsi" w:eastAsia="MS Mincho" w:hAnsiTheme="minorHAnsi" w:cstheme="minorHAnsi"/>
          <w:sz w:val="20"/>
          <w:szCs w:val="20"/>
        </w:rPr>
      </w:pPr>
      <w:r w:rsidRPr="00242F53">
        <w:rPr>
          <w:rFonts w:asciiTheme="minorHAnsi" w:eastAsia="MS Mincho" w:hAnsiTheme="minorHAnsi" w:cstheme="minorHAnsi"/>
          <w:sz w:val="20"/>
          <w:szCs w:val="20"/>
        </w:rPr>
        <w:t xml:space="preserve">The </w:t>
      </w:r>
      <w:r w:rsidR="00583E44" w:rsidRPr="00242F53">
        <w:rPr>
          <w:rFonts w:asciiTheme="minorHAnsi" w:eastAsia="MS Mincho" w:hAnsiTheme="minorHAnsi" w:cstheme="minorHAnsi"/>
          <w:sz w:val="20"/>
          <w:szCs w:val="20"/>
        </w:rPr>
        <w:t>following</w:t>
      </w:r>
      <w:r w:rsidRPr="00242F53">
        <w:rPr>
          <w:rFonts w:asciiTheme="minorHAnsi" w:eastAsia="MS Mincho" w:hAnsiTheme="minorHAnsi" w:cstheme="minorHAnsi"/>
          <w:sz w:val="20"/>
          <w:szCs w:val="20"/>
        </w:rPr>
        <w:t xml:space="preserve"> </w:t>
      </w:r>
      <w:r w:rsidR="00646DD5" w:rsidRPr="00242F53">
        <w:rPr>
          <w:rFonts w:asciiTheme="minorHAnsi" w:eastAsia="MS Mincho" w:hAnsiTheme="minorHAnsi" w:cstheme="minorHAnsi"/>
          <w:sz w:val="20"/>
          <w:szCs w:val="20"/>
        </w:rPr>
        <w:t xml:space="preserve">shall </w:t>
      </w:r>
      <w:r w:rsidRPr="00242F53">
        <w:rPr>
          <w:rFonts w:asciiTheme="minorHAnsi" w:eastAsia="MS Mincho" w:hAnsiTheme="minorHAnsi" w:cstheme="minorHAnsi"/>
          <w:sz w:val="20"/>
          <w:szCs w:val="20"/>
        </w:rPr>
        <w:t xml:space="preserve">apply with respect to procurement under </w:t>
      </w:r>
      <w:r w:rsidR="00010D43" w:rsidRPr="00242F53">
        <w:rPr>
          <w:rFonts w:asciiTheme="minorHAnsi" w:eastAsia="MS Mincho" w:hAnsiTheme="minorHAnsi" w:cstheme="minorHAnsi"/>
          <w:sz w:val="20"/>
          <w:szCs w:val="20"/>
        </w:rPr>
        <w:t xml:space="preserve">the </w:t>
      </w:r>
      <w:r w:rsidR="00FD005B" w:rsidRPr="00242F53">
        <w:rPr>
          <w:rFonts w:asciiTheme="minorHAnsi" w:eastAsia="MS Mincho" w:hAnsiTheme="minorHAnsi" w:cstheme="minorHAnsi"/>
          <w:sz w:val="20"/>
          <w:szCs w:val="20"/>
        </w:rPr>
        <w:t>DBJ’s Investment</w:t>
      </w:r>
      <w:r w:rsidRPr="00242F53">
        <w:rPr>
          <w:rFonts w:asciiTheme="minorHAnsi" w:eastAsia="MS Mincho" w:hAnsiTheme="minorHAnsi" w:cstheme="minorHAnsi"/>
          <w:sz w:val="20"/>
          <w:szCs w:val="20"/>
        </w:rPr>
        <w:t xml:space="preserve"> Project Financing operations.</w:t>
      </w:r>
    </w:p>
    <w:p w14:paraId="6BB79351" w14:textId="41F3960F" w:rsidR="00E235E6" w:rsidRPr="00242F53" w:rsidRDefault="00E235E6" w:rsidP="00625D6F">
      <w:pPr>
        <w:numPr>
          <w:ilvl w:val="0"/>
          <w:numId w:val="21"/>
        </w:numPr>
        <w:spacing w:after="120" w:line="240" w:lineRule="auto"/>
        <w:ind w:left="360"/>
        <w:jc w:val="both"/>
        <w:rPr>
          <w:rFonts w:cstheme="minorHAnsi"/>
          <w:b/>
          <w:sz w:val="20"/>
          <w:szCs w:val="20"/>
        </w:rPr>
      </w:pPr>
      <w:r w:rsidRPr="00242F53">
        <w:rPr>
          <w:rFonts w:cstheme="minorHAnsi"/>
          <w:b/>
          <w:sz w:val="20"/>
          <w:szCs w:val="20"/>
        </w:rPr>
        <w:t>Requirements</w:t>
      </w:r>
    </w:p>
    <w:p w14:paraId="48BEA77E" w14:textId="77777777" w:rsidR="00010D43" w:rsidRDefault="00010D43" w:rsidP="00007EBD">
      <w:pPr>
        <w:ind w:left="360"/>
        <w:jc w:val="both"/>
      </w:pPr>
      <w:proofErr w:type="spellStart"/>
      <w:r>
        <w:t>GoJ</w:t>
      </w:r>
      <w:proofErr w:type="spellEnd"/>
      <w:r>
        <w:t xml:space="preserve"> requires that all Public Officers and individuals engaged in the procurement process, including Bidders and contractors under </w:t>
      </w:r>
      <w:proofErr w:type="spellStart"/>
      <w:r>
        <w:t>GoJ</w:t>
      </w:r>
      <w:proofErr w:type="spellEnd"/>
      <w:r>
        <w:t>-financed contracts, observe the highest standard of ethics during the procurement process and in the execution of contracts.</w:t>
      </w:r>
    </w:p>
    <w:p w14:paraId="20E583AE" w14:textId="29BBE07C" w:rsidR="00010D43" w:rsidRDefault="00010D43" w:rsidP="00007EBD">
      <w:pPr>
        <w:ind w:left="360"/>
        <w:jc w:val="both"/>
      </w:pPr>
      <w:r>
        <w:t xml:space="preserve">Within the context of </w:t>
      </w:r>
      <w:proofErr w:type="spellStart"/>
      <w:r>
        <w:t>GoJ’s</w:t>
      </w:r>
      <w:proofErr w:type="spellEnd"/>
      <w:r>
        <w:t xml:space="preserve"> Procurement Policy</w:t>
      </w:r>
      <w:r w:rsidR="008F0645">
        <w:t xml:space="preserve"> (</w:t>
      </w:r>
      <w:proofErr w:type="spellStart"/>
      <w:r w:rsidR="008F0645">
        <w:t>GoJ</w:t>
      </w:r>
      <w:proofErr w:type="spellEnd"/>
      <w:r w:rsidR="008F0645">
        <w:t xml:space="preserve"> Handbook OPSPP Vol. 1)</w:t>
      </w:r>
      <w:r>
        <w:t xml:space="preserve"> the following terms are defined:</w:t>
      </w:r>
    </w:p>
    <w:p w14:paraId="1FF95FA3" w14:textId="77777777" w:rsidR="00010D43" w:rsidRDefault="00010D43" w:rsidP="00007EBD">
      <w:pPr>
        <w:ind w:left="360"/>
        <w:jc w:val="both"/>
      </w:pPr>
      <w:r>
        <w:t xml:space="preserve">(a) Corrupt Practice means the offering, giving, </w:t>
      </w:r>
      <w:proofErr w:type="gramStart"/>
      <w:r>
        <w:t>receiving</w:t>
      </w:r>
      <w:proofErr w:type="gramEnd"/>
      <w:r>
        <w:t xml:space="preserve"> or soliciting of anything of value to influence the action of a Public Officer in the procurement process or in the execution of a contract.</w:t>
      </w:r>
    </w:p>
    <w:p w14:paraId="3CD6B73F" w14:textId="77777777" w:rsidR="00010D43" w:rsidRDefault="00010D43" w:rsidP="00007EBD">
      <w:pPr>
        <w:ind w:left="360"/>
        <w:jc w:val="both"/>
      </w:pPr>
      <w:r>
        <w:t xml:space="preserve">(b) Fraudulent Practice refers to a misrepresentation of facts </w:t>
      </w:r>
      <w:proofErr w:type="gramStart"/>
      <w:r>
        <w:t>in order to</w:t>
      </w:r>
      <w:proofErr w:type="gramEnd"/>
      <w:r>
        <w:t xml:space="preserve">: influence a procurement exercise; manipulate the tender process; or the execution of a contract to the detriment of </w:t>
      </w:r>
      <w:proofErr w:type="spellStart"/>
      <w:r>
        <w:t>GoJ</w:t>
      </w:r>
      <w:proofErr w:type="spellEnd"/>
      <w:r>
        <w:t xml:space="preserve">. This includes collusive practices among Bidders (prior to or after bid submission), designed to establish bid prices at artificial, non-competitive levels and to deprive </w:t>
      </w:r>
      <w:proofErr w:type="spellStart"/>
      <w:r>
        <w:t>GoJ</w:t>
      </w:r>
      <w:proofErr w:type="spellEnd"/>
      <w:r>
        <w:t xml:space="preserve"> of the benefits of free and open competition.</w:t>
      </w:r>
    </w:p>
    <w:p w14:paraId="150DB550" w14:textId="77777777" w:rsidR="00010D43" w:rsidRDefault="00010D43" w:rsidP="00242F53">
      <w:pPr>
        <w:ind w:left="360"/>
        <w:jc w:val="both"/>
      </w:pPr>
      <w:r>
        <w:t>(c) Collusive Practice refers to a scheme or arrangement between Bidders, designed to establish bid prices at artificial, non-competitive levels, or to influence the action of any party in the procurement process or the execution of a contract.</w:t>
      </w:r>
    </w:p>
    <w:p w14:paraId="5007BC82" w14:textId="77777777" w:rsidR="00010D43" w:rsidRDefault="00010D43" w:rsidP="00242F53">
      <w:pPr>
        <w:ind w:left="360"/>
        <w:jc w:val="both"/>
      </w:pPr>
      <w:r>
        <w:t>(d) Coercive Practice refers to deliberately harming or threatening to harm, directly or indirectly, persons, or their property to influence their participation in a procurement exercise, or to affect the execution of a contract.</w:t>
      </w:r>
    </w:p>
    <w:p w14:paraId="14E5BCD9" w14:textId="279FCAB1" w:rsidR="00010D43" w:rsidRDefault="00010D43" w:rsidP="00242F53">
      <w:pPr>
        <w:ind w:left="360"/>
        <w:jc w:val="both"/>
      </w:pPr>
      <w:r>
        <w:t xml:space="preserve">(e) Obstructive Practice refers to the act of deliberately destroying, falsifying, </w:t>
      </w:r>
      <w:proofErr w:type="gramStart"/>
      <w:r>
        <w:t>altering</w:t>
      </w:r>
      <w:proofErr w:type="gramEnd"/>
      <w:r>
        <w:t xml:space="preserve"> or concealing evidence material to an investigation, or making false statements to an inquiry, in order to materially impede an investigation (by </w:t>
      </w:r>
      <w:proofErr w:type="spellStart"/>
      <w:r>
        <w:t>GoJ</w:t>
      </w:r>
      <w:proofErr w:type="spellEnd"/>
      <w:r>
        <w:t xml:space="preserve">) into allegations of corrupt, fraudulent, coercive or collusive practices. Making threats, </w:t>
      </w:r>
      <w:proofErr w:type="gramStart"/>
      <w:r>
        <w:t>harassing</w:t>
      </w:r>
      <w:proofErr w:type="gramEnd"/>
      <w:r>
        <w:t xml:space="preserve"> or intimidating any individual to prevent him/her from disclosing knowledge of matters relevant to an investigation, or from pursuing the investigation - are also regarded as obstructive practice. In addition, this definition includes all acts intended to materially impede the exercise of the </w:t>
      </w:r>
      <w:proofErr w:type="spellStart"/>
      <w:r>
        <w:t>GoJ’s</w:t>
      </w:r>
      <w:proofErr w:type="spellEnd"/>
      <w:r>
        <w:t xml:space="preserve"> inspection and audit rights.</w:t>
      </w:r>
    </w:p>
    <w:p w14:paraId="382FB361" w14:textId="193924B4" w:rsidR="008F0645" w:rsidRPr="00242F53" w:rsidRDefault="008F0645" w:rsidP="00242F53">
      <w:pPr>
        <w:ind w:left="360"/>
        <w:jc w:val="both"/>
        <w:rPr>
          <w:color w:val="000000" w:themeColor="text1"/>
        </w:rPr>
      </w:pPr>
      <w:r w:rsidRPr="00242F53">
        <w:rPr>
          <w:color w:val="000000" w:themeColor="text1"/>
        </w:rPr>
        <w:t>In addition, the following are</w:t>
      </w:r>
      <w:r w:rsidR="00583E44" w:rsidRPr="00242F53">
        <w:rPr>
          <w:color w:val="000000" w:themeColor="text1"/>
        </w:rPr>
        <w:t xml:space="preserve"> defined and</w:t>
      </w:r>
      <w:r w:rsidRPr="00242F53">
        <w:rPr>
          <w:color w:val="000000" w:themeColor="text1"/>
        </w:rPr>
        <w:t xml:space="preserve"> imposed either by operation of law or DBJ policy:</w:t>
      </w:r>
    </w:p>
    <w:p w14:paraId="6D2E051E" w14:textId="405DE60A" w:rsidR="00583E44" w:rsidRPr="00242F53" w:rsidRDefault="008F0645" w:rsidP="00242F53">
      <w:pPr>
        <w:ind w:left="360"/>
        <w:jc w:val="both"/>
        <w:rPr>
          <w:color w:val="000000" w:themeColor="text1"/>
        </w:rPr>
      </w:pPr>
      <w:r w:rsidRPr="00242F53">
        <w:rPr>
          <w:color w:val="000000" w:themeColor="text1"/>
        </w:rPr>
        <w:t>(f) Abusive Practice, which means theft, misappropriation, waste or improper use of property or assets, either committed intentionally or through reckless disregard</w:t>
      </w:r>
      <w:r w:rsidR="00583E44" w:rsidRPr="00242F53">
        <w:rPr>
          <w:color w:val="000000" w:themeColor="text1"/>
        </w:rPr>
        <w:t>.</w:t>
      </w:r>
      <w:r w:rsidR="00583E44" w:rsidRPr="00242F53">
        <w:rPr>
          <w:color w:val="000000" w:themeColor="text1"/>
        </w:rPr>
        <w:br/>
      </w:r>
      <w:r w:rsidR="00583E44" w:rsidRPr="00242F53">
        <w:rPr>
          <w:color w:val="000000" w:themeColor="text1"/>
        </w:rPr>
        <w:br/>
        <w:t>(g) Money Laundering, which without limitation as to the provisions of any Act, refers to: (</w:t>
      </w:r>
      <w:proofErr w:type="spellStart"/>
      <w:r w:rsidR="00583E44" w:rsidRPr="00242F53">
        <w:rPr>
          <w:color w:val="000000" w:themeColor="text1"/>
        </w:rPr>
        <w:t>i</w:t>
      </w:r>
      <w:proofErr w:type="spellEnd"/>
      <w:r w:rsidR="00583E44" w:rsidRPr="00242F53">
        <w:rPr>
          <w:color w:val="000000" w:themeColor="text1"/>
        </w:rPr>
        <w:t xml:space="preserve">) the conversion or transfer of property, knowing that such property is derived from the crime, for the purpose of concealing or disguising the illicit origin of the property or of assisting any person who is involved in the commission of the crime to evade the legal consequences of his or her actions; </w:t>
      </w:r>
      <w:r w:rsidR="00583E44" w:rsidRPr="00242F53">
        <w:rPr>
          <w:color w:val="000000" w:themeColor="text1"/>
        </w:rPr>
        <w:lastRenderedPageBreak/>
        <w:t>(ii) the concealment or disguise of the true nature, source, location, disposition, movement, rights with respect to, or ownership of or rights with respect to property, knowing such property is derived from crime; or (iii) the acquisition, possession or use of property knowing at the time of receipt such property was derived from a criminal offence.</w:t>
      </w:r>
    </w:p>
    <w:p w14:paraId="389BE339" w14:textId="214846E4" w:rsidR="008F0645" w:rsidRPr="00242F53" w:rsidRDefault="00583E44" w:rsidP="00242F53">
      <w:pPr>
        <w:ind w:left="360"/>
        <w:jc w:val="both"/>
        <w:rPr>
          <w:color w:val="000000" w:themeColor="text1"/>
        </w:rPr>
      </w:pPr>
      <w:r w:rsidRPr="00242F53">
        <w:rPr>
          <w:color w:val="000000" w:themeColor="text1"/>
        </w:rPr>
        <w:t xml:space="preserve">(h) Financing of Terrorism or Terrorist Financing which is the commission of any offence as set out in Article 2 of the International Convention for the Suppression of the Financing of Terrorism and the Terrorism Prevention Act. </w:t>
      </w:r>
    </w:p>
    <w:p w14:paraId="6CD45152" w14:textId="3E8BD49B" w:rsidR="00583E44" w:rsidRPr="00242F53" w:rsidRDefault="00583E44" w:rsidP="00242F53">
      <w:pPr>
        <w:ind w:left="360"/>
        <w:jc w:val="both"/>
        <w:rPr>
          <w:b/>
          <w:bCs/>
          <w:color w:val="000000" w:themeColor="text1"/>
        </w:rPr>
      </w:pPr>
      <w:r w:rsidRPr="00242F53">
        <w:rPr>
          <w:b/>
          <w:bCs/>
          <w:color w:val="000000" w:themeColor="text1"/>
        </w:rPr>
        <w:t xml:space="preserve">All Public Officers and individuals engaged in the procurement process, including Bidders and contractors under </w:t>
      </w:r>
      <w:proofErr w:type="spellStart"/>
      <w:r w:rsidR="00242F53" w:rsidRPr="00242F53">
        <w:rPr>
          <w:b/>
          <w:bCs/>
          <w:color w:val="000000" w:themeColor="text1"/>
        </w:rPr>
        <w:t>G</w:t>
      </w:r>
      <w:r w:rsidR="007F1542">
        <w:rPr>
          <w:b/>
          <w:bCs/>
          <w:color w:val="000000" w:themeColor="text1"/>
        </w:rPr>
        <w:t>o</w:t>
      </w:r>
      <w:r w:rsidR="00242F53" w:rsidRPr="00242F53">
        <w:rPr>
          <w:b/>
          <w:bCs/>
          <w:color w:val="000000" w:themeColor="text1"/>
        </w:rPr>
        <w:t>J</w:t>
      </w:r>
      <w:proofErr w:type="spellEnd"/>
      <w:r w:rsidRPr="00242F53">
        <w:rPr>
          <w:b/>
          <w:bCs/>
          <w:color w:val="000000" w:themeColor="text1"/>
        </w:rPr>
        <w:t>-financed contracts shall REFRAIN from the practices set out at (a) through to (h) above and shall ADHERE to the provisions of the Proceeds of Crime Act and any other laws promulgated by the Government of Jamaica which concerns fraud, corruption, and/or money laundering.</w:t>
      </w:r>
    </w:p>
    <w:p w14:paraId="7B4FC2D9" w14:textId="77777777" w:rsidR="00010D43" w:rsidRPr="009B36AF" w:rsidRDefault="00010D43" w:rsidP="00007EBD">
      <w:pPr>
        <w:ind w:left="360"/>
        <w:rPr>
          <w:b/>
        </w:rPr>
      </w:pPr>
      <w:r w:rsidRPr="009B36AF">
        <w:rPr>
          <w:b/>
        </w:rPr>
        <w:t>5.1.1 SANCTIONS/REJECTION</w:t>
      </w:r>
    </w:p>
    <w:p w14:paraId="3DF2F96A" w14:textId="7E09C5FB" w:rsidR="00010D43" w:rsidRDefault="00010D43" w:rsidP="00007EBD">
      <w:pPr>
        <w:ind w:left="360"/>
        <w:jc w:val="both"/>
      </w:pPr>
      <w:r>
        <w:t xml:space="preserve">(a) All persons involved in proven fraudulent and/or corrupt practices will be subject to </w:t>
      </w:r>
      <w:r w:rsidR="00E67A6E">
        <w:t xml:space="preserve">criminal and/or civil law </w:t>
      </w:r>
      <w:r>
        <w:t>sanctions in accordance with the Laws of Jamaica.</w:t>
      </w:r>
    </w:p>
    <w:p w14:paraId="2D5737A4" w14:textId="77777777" w:rsidR="00010D43" w:rsidRDefault="00010D43" w:rsidP="00007EBD">
      <w:pPr>
        <w:ind w:left="360"/>
        <w:jc w:val="both"/>
      </w:pPr>
      <w:r>
        <w:t>(b) Bid/proposals will be rejected if it is determined that the Bidder recommended for the award has engaged in corrupt or fraudulent practices in competing for the contract in question.</w:t>
      </w:r>
    </w:p>
    <w:p w14:paraId="05FE6A25" w14:textId="77777777" w:rsidR="00010D43" w:rsidRDefault="00010D43" w:rsidP="00007EBD">
      <w:pPr>
        <w:ind w:left="360"/>
        <w:jc w:val="both"/>
      </w:pPr>
      <w:r>
        <w:t xml:space="preserve">(c) Any firm which has engaged in corrupt or fraudulent practices in competing for, or in the execution of </w:t>
      </w:r>
      <w:proofErr w:type="spellStart"/>
      <w:r>
        <w:t>GoJ</w:t>
      </w:r>
      <w:proofErr w:type="spellEnd"/>
      <w:r>
        <w:t xml:space="preserve">-financed contracts, will be declared ineligible to participate in the </w:t>
      </w:r>
      <w:proofErr w:type="spellStart"/>
      <w:r>
        <w:t>GoJ</w:t>
      </w:r>
      <w:proofErr w:type="spellEnd"/>
      <w:r>
        <w:t xml:space="preserve"> procurement process for a stated period or indefinitely. Similarly, contractors should be aware that corrupt </w:t>
      </w:r>
      <w:proofErr w:type="spellStart"/>
      <w:r>
        <w:t>behaviour</w:t>
      </w:r>
      <w:proofErr w:type="spellEnd"/>
      <w:r>
        <w:t xml:space="preserve"> will have implications for future contract awards. Note: Employees/persons who are involved in the preparation of tender estimates and the management of the procurement process, are prohibited from assisting or providing services to contractors in the preparation of their bids.</w:t>
      </w:r>
    </w:p>
    <w:p w14:paraId="02C09610" w14:textId="31614F64" w:rsidR="00692B22" w:rsidRPr="00CB2DA7" w:rsidRDefault="00692B22" w:rsidP="00007EBD">
      <w:pPr>
        <w:autoSpaceDE w:val="0"/>
        <w:autoSpaceDN w:val="0"/>
        <w:adjustRightInd w:val="0"/>
        <w:spacing w:after="120" w:line="240" w:lineRule="auto"/>
        <w:jc w:val="both"/>
        <w:rPr>
          <w:sz w:val="20"/>
        </w:rPr>
      </w:pPr>
    </w:p>
    <w:sectPr w:rsidR="00692B22" w:rsidRPr="00CB2DA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34F0" w14:textId="77777777" w:rsidR="00AB1B4E" w:rsidRDefault="00AB1B4E" w:rsidP="00E445B8">
      <w:pPr>
        <w:spacing w:after="0" w:line="240" w:lineRule="auto"/>
      </w:pPr>
      <w:r>
        <w:separator/>
      </w:r>
    </w:p>
  </w:endnote>
  <w:endnote w:type="continuationSeparator" w:id="0">
    <w:p w14:paraId="08D2F746" w14:textId="77777777" w:rsidR="00AB1B4E" w:rsidRDefault="00AB1B4E" w:rsidP="00E445B8">
      <w:pPr>
        <w:spacing w:after="0" w:line="240" w:lineRule="auto"/>
      </w:pPr>
      <w:r>
        <w:continuationSeparator/>
      </w:r>
    </w:p>
  </w:endnote>
  <w:endnote w:type="continuationNotice" w:id="1">
    <w:p w14:paraId="5A8CF705" w14:textId="77777777" w:rsidR="00AB1B4E" w:rsidRDefault="00AB1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es">
    <w:panose1 w:val="00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18094"/>
      <w:docPartObj>
        <w:docPartGallery w:val="Page Numbers (Bottom of Page)"/>
        <w:docPartUnique/>
      </w:docPartObj>
    </w:sdtPr>
    <w:sdtEndPr>
      <w:rPr>
        <w:noProof/>
      </w:rPr>
    </w:sdtEndPr>
    <w:sdtContent>
      <w:p w14:paraId="16970DB6" w14:textId="1D8F6AE1" w:rsidR="00044634" w:rsidRDefault="00044634" w:rsidP="00473E0A">
        <w:pPr>
          <w:pStyle w:val="Footer"/>
          <w:jc w:val="right"/>
        </w:pPr>
        <w:r>
          <w:fldChar w:fldCharType="begin"/>
        </w:r>
        <w:r>
          <w:instrText xml:space="preserve"> PAGE   \* MERGEFORMAT </w:instrText>
        </w:r>
        <w:r>
          <w:fldChar w:fldCharType="separate"/>
        </w:r>
        <w:r w:rsidR="009F48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DEDE" w14:textId="77777777" w:rsidR="00AB1B4E" w:rsidRDefault="00AB1B4E" w:rsidP="00E445B8">
      <w:pPr>
        <w:spacing w:after="0" w:line="240" w:lineRule="auto"/>
      </w:pPr>
      <w:r>
        <w:separator/>
      </w:r>
    </w:p>
  </w:footnote>
  <w:footnote w:type="continuationSeparator" w:id="0">
    <w:p w14:paraId="4E8BDD04" w14:textId="77777777" w:rsidR="00AB1B4E" w:rsidRDefault="00AB1B4E" w:rsidP="00E445B8">
      <w:pPr>
        <w:spacing w:after="0" w:line="240" w:lineRule="auto"/>
      </w:pPr>
      <w:r>
        <w:continuationSeparator/>
      </w:r>
    </w:p>
  </w:footnote>
  <w:footnote w:type="continuationNotice" w:id="1">
    <w:p w14:paraId="40200E3F" w14:textId="77777777" w:rsidR="00AB1B4E" w:rsidRDefault="00AB1B4E">
      <w:pPr>
        <w:spacing w:after="0" w:line="240" w:lineRule="auto"/>
      </w:pPr>
    </w:p>
  </w:footnote>
  <w:footnote w:id="2">
    <w:p w14:paraId="221C0AED" w14:textId="6453D41E" w:rsidR="00044634" w:rsidRDefault="00044634" w:rsidP="00785041">
      <w:pPr>
        <w:pStyle w:val="FootnoteText"/>
      </w:pPr>
      <w:r>
        <w:rPr>
          <w:rStyle w:val="FootnoteReference"/>
        </w:rPr>
        <w:footnoteRef/>
      </w:r>
      <w:r>
        <w:t xml:space="preserve"> </w:t>
      </w:r>
      <w:r w:rsidRPr="006451B6">
        <w:rPr>
          <w:rFonts w:cstheme="minorHAnsi"/>
          <w:sz w:val="18"/>
          <w:szCs w:val="18"/>
        </w:rPr>
        <w:t>there could be</w:t>
      </w:r>
      <w:r w:rsidRPr="006451B6">
        <w:rPr>
          <w:sz w:val="18"/>
          <w:szCs w:val="18"/>
        </w:rPr>
        <w:t xml:space="preserve"> some flexibility on funds raised in excess of </w:t>
      </w:r>
      <w:r>
        <w:rPr>
          <w:sz w:val="18"/>
          <w:szCs w:val="18"/>
        </w:rPr>
        <w:t>J$3 billion</w:t>
      </w:r>
      <w:r w:rsidRPr="006451B6">
        <w:rPr>
          <w:sz w:val="18"/>
          <w:szCs w:val="18"/>
        </w:rPr>
        <w:t xml:space="preserve"> which could admit SMEs not based in Jamaica.</w:t>
      </w:r>
      <w:r>
        <w:t xml:space="preserve"> </w:t>
      </w:r>
      <w:r w:rsidRPr="00142369">
        <w:rPr>
          <w:rFonts w:cstheme="minorHAnsi"/>
        </w:rPr>
        <w:t xml:space="preserve"> </w:t>
      </w:r>
    </w:p>
  </w:footnote>
  <w:footnote w:id="3">
    <w:p w14:paraId="74E94115" w14:textId="4BF9014E" w:rsidR="00044634" w:rsidRPr="000C2D6C" w:rsidRDefault="00044634">
      <w:pPr>
        <w:pStyle w:val="FootnoteText"/>
        <w:rPr>
          <w:rFonts w:asciiTheme="majorHAnsi" w:hAnsiTheme="majorHAnsi" w:cstheme="majorHAnsi"/>
          <w:sz w:val="16"/>
          <w:szCs w:val="16"/>
        </w:rPr>
      </w:pPr>
      <w:r w:rsidRPr="00AF23E9">
        <w:rPr>
          <w:rStyle w:val="FootnoteReference"/>
          <w:sz w:val="16"/>
          <w:szCs w:val="16"/>
        </w:rPr>
        <w:footnoteRef/>
      </w:r>
      <w:r w:rsidRPr="00AF23E9">
        <w:rPr>
          <w:sz w:val="16"/>
          <w:szCs w:val="16"/>
        </w:rPr>
        <w:t xml:space="preserve"> </w:t>
      </w:r>
      <w:r w:rsidRPr="000C2D6C">
        <w:rPr>
          <w:rFonts w:asciiTheme="majorHAnsi" w:hAnsiTheme="majorHAnsi" w:cstheme="majorHAnsi"/>
          <w:sz w:val="16"/>
          <w:szCs w:val="16"/>
        </w:rPr>
        <w:t>Definition of MSME as defined by Ministry of Industry, Commerce Agriculture</w:t>
      </w:r>
      <w:r>
        <w:rPr>
          <w:rFonts w:asciiTheme="majorHAnsi" w:hAnsiTheme="majorHAnsi" w:cstheme="majorHAnsi"/>
          <w:sz w:val="16"/>
          <w:szCs w:val="16"/>
        </w:rPr>
        <w:t xml:space="preserve"> &amp; Fisheries</w:t>
      </w:r>
      <w:r w:rsidRPr="000C2D6C">
        <w:rPr>
          <w:rFonts w:asciiTheme="majorHAnsi" w:hAnsiTheme="majorHAnsi" w:cstheme="majorHAnsi"/>
          <w:sz w:val="16"/>
          <w:szCs w:val="16"/>
        </w:rPr>
        <w:t xml:space="preserve"> https://www.micaf.gov.jm/content/msme-sector</w:t>
      </w:r>
    </w:p>
  </w:footnote>
  <w:footnote w:id="4">
    <w:p w14:paraId="4BB39819" w14:textId="1C9B8980" w:rsidR="00044634" w:rsidRPr="00DE62DF" w:rsidRDefault="00044634" w:rsidP="00E445B8">
      <w:pPr>
        <w:pStyle w:val="FootnoteText"/>
        <w:rPr>
          <w:rFonts w:asciiTheme="minorHAnsi" w:hAnsiTheme="minorHAnsi" w:cstheme="minorHAnsi"/>
        </w:rPr>
      </w:pPr>
      <w:r>
        <w:rPr>
          <w:rStyle w:val="FootnoteReference"/>
        </w:rPr>
        <w:footnoteRef/>
      </w:r>
      <w:r>
        <w:t xml:space="preserve"> </w:t>
      </w:r>
      <w:r w:rsidRPr="00796066">
        <w:rPr>
          <w:rFonts w:asciiTheme="minorHAnsi" w:hAnsiTheme="minorHAnsi" w:cstheme="minorHAnsi"/>
          <w:sz w:val="18"/>
          <w:szCs w:val="18"/>
        </w:rPr>
        <w:t>Reference GOJ MSME Policy 2017 https://www.micaf.gov.jm/sites/default/files/pdfs/MSME%20and%20Entrepreneurship%20Policy%20Updated%202017_0.pdf.  US equivalent at exchange rate US$1.00: J$125</w:t>
      </w:r>
      <w:r w:rsidRPr="00DE62DF">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D91"/>
    <w:multiLevelType w:val="hybridMultilevel"/>
    <w:tmpl w:val="9A6818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EF3757"/>
    <w:multiLevelType w:val="hybridMultilevel"/>
    <w:tmpl w:val="6C6E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503"/>
    <w:multiLevelType w:val="hybridMultilevel"/>
    <w:tmpl w:val="19B21C3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CF71879"/>
    <w:multiLevelType w:val="hybridMultilevel"/>
    <w:tmpl w:val="16BA60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40A94"/>
    <w:multiLevelType w:val="multilevel"/>
    <w:tmpl w:val="82A2F110"/>
    <w:lvl w:ilvl="0">
      <w:start w:val="3"/>
      <w:numFmt w:val="decimal"/>
      <w:lvlText w:val="%1"/>
      <w:lvlJc w:val="left"/>
      <w:pPr>
        <w:ind w:left="360" w:hanging="360"/>
      </w:pPr>
    </w:lvl>
    <w:lvl w:ilvl="1">
      <w:start w:val="1"/>
      <w:numFmt w:val="decimal"/>
      <w:lvlText w:val="%1.%2"/>
      <w:lvlJc w:val="left"/>
      <w:pPr>
        <w:ind w:left="360" w:hanging="360"/>
      </w:pPr>
      <w:rPr>
        <w:rFonts w:ascii="Georgia" w:hAnsi="Georgia" w:hint="default"/>
        <w:color w:val="4F81BD"/>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3264D71"/>
    <w:multiLevelType w:val="hybridMultilevel"/>
    <w:tmpl w:val="61A0C65C"/>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6" w15:restartNumberingAfterBreak="0">
    <w:nsid w:val="15DC4327"/>
    <w:multiLevelType w:val="hybridMultilevel"/>
    <w:tmpl w:val="D98A46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D8033A"/>
    <w:multiLevelType w:val="hybridMultilevel"/>
    <w:tmpl w:val="7B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E74E5"/>
    <w:multiLevelType w:val="hybridMultilevel"/>
    <w:tmpl w:val="4EAA26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93F7F65"/>
    <w:multiLevelType w:val="hybridMultilevel"/>
    <w:tmpl w:val="52120ED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EAA7601"/>
    <w:multiLevelType w:val="hybridMultilevel"/>
    <w:tmpl w:val="FF12FD40"/>
    <w:lvl w:ilvl="0" w:tplc="B47226E2">
      <w:start w:val="10"/>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7B4F39"/>
    <w:multiLevelType w:val="hybridMultilevel"/>
    <w:tmpl w:val="BE542E8C"/>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3D8B49C6"/>
    <w:multiLevelType w:val="hybridMultilevel"/>
    <w:tmpl w:val="C5EC8B52"/>
    <w:lvl w:ilvl="0" w:tplc="20090009">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3E7559F6"/>
    <w:multiLevelType w:val="hybridMultilevel"/>
    <w:tmpl w:val="19B21C3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1A75569"/>
    <w:multiLevelType w:val="hybridMultilevel"/>
    <w:tmpl w:val="4240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D2B80"/>
    <w:multiLevelType w:val="hybridMultilevel"/>
    <w:tmpl w:val="0576E7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B193ADB"/>
    <w:multiLevelType w:val="hybridMultilevel"/>
    <w:tmpl w:val="22B6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85AD0"/>
    <w:multiLevelType w:val="hybridMultilevel"/>
    <w:tmpl w:val="6494D9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1845"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520D09B8"/>
    <w:multiLevelType w:val="hybridMultilevel"/>
    <w:tmpl w:val="0ECE5A0A"/>
    <w:lvl w:ilvl="0" w:tplc="20090001">
      <w:start w:val="1"/>
      <w:numFmt w:val="bullet"/>
      <w:lvlText w:val=""/>
      <w:lvlJc w:val="left"/>
      <w:pPr>
        <w:ind w:left="2160" w:hanging="360"/>
      </w:pPr>
      <w:rPr>
        <w:rFonts w:ascii="Symbol" w:hAnsi="Symbol"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22" w15:restartNumberingAfterBreak="0">
    <w:nsid w:val="5688566D"/>
    <w:multiLevelType w:val="hybridMultilevel"/>
    <w:tmpl w:val="B7C69C6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203664B"/>
    <w:multiLevelType w:val="hybridMultilevel"/>
    <w:tmpl w:val="728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979A5"/>
    <w:multiLevelType w:val="hybridMultilevel"/>
    <w:tmpl w:val="E796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E0632"/>
    <w:multiLevelType w:val="multilevel"/>
    <w:tmpl w:val="7850F7AE"/>
    <w:lvl w:ilvl="0">
      <w:start w:val="3"/>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56D2753"/>
    <w:multiLevelType w:val="hybridMultilevel"/>
    <w:tmpl w:val="951A6C7A"/>
    <w:lvl w:ilvl="0" w:tplc="FC9A451E">
      <w:start w:val="1"/>
      <w:numFmt w:val="decimal"/>
      <w:pStyle w:val="ListParagraph0"/>
      <w:lvlText w:val="%1."/>
      <w:lvlJc w:val="left"/>
      <w:pPr>
        <w:tabs>
          <w:tab w:val="num" w:pos="360"/>
        </w:tabs>
        <w:ind w:left="0" w:firstLine="0"/>
      </w:pPr>
      <w:rPr>
        <w:rFonts w:asciiTheme="minorHAnsi" w:eastAsia="Times New Roman" w:hAnsiTheme="minorHAnsi" w:cs="Times New Roman" w:hint="default"/>
        <w:b/>
        <w:i w:val="0"/>
        <w:color w:val="auto"/>
        <w:sz w:val="22"/>
        <w:szCs w:val="22"/>
      </w:rPr>
    </w:lvl>
    <w:lvl w:ilvl="1" w:tplc="23DAE70A">
      <w:start w:val="1"/>
      <w:numFmt w:val="bullet"/>
      <w:lvlText w:val=""/>
      <w:lvlJc w:val="left"/>
      <w:pPr>
        <w:tabs>
          <w:tab w:val="num" w:pos="720"/>
        </w:tabs>
        <w:ind w:left="1080" w:firstLine="0"/>
      </w:pPr>
      <w:rPr>
        <w:rFonts w:ascii="Symbol" w:hAnsi="Symbol" w:hint="default"/>
      </w:rPr>
    </w:lvl>
    <w:lvl w:ilvl="2" w:tplc="EA5A3CF6">
      <w:start w:val="1"/>
      <w:numFmt w:val="lowerRoman"/>
      <w:lvlText w:val="(%3)"/>
      <w:lvlJc w:val="left"/>
      <w:pPr>
        <w:tabs>
          <w:tab w:val="num" w:pos="2340"/>
        </w:tabs>
        <w:ind w:left="2340" w:hanging="360"/>
      </w:pPr>
      <w:rPr>
        <w:rFonts w:hint="default"/>
      </w:rPr>
    </w:lvl>
    <w:lvl w:ilvl="3" w:tplc="18B66A26" w:tentative="1">
      <w:start w:val="1"/>
      <w:numFmt w:val="decimal"/>
      <w:lvlText w:val="%4."/>
      <w:lvlJc w:val="left"/>
      <w:pPr>
        <w:tabs>
          <w:tab w:val="num" w:pos="2880"/>
        </w:tabs>
        <w:ind w:left="2880" w:hanging="360"/>
      </w:pPr>
    </w:lvl>
    <w:lvl w:ilvl="4" w:tplc="CC3E2158" w:tentative="1">
      <w:start w:val="1"/>
      <w:numFmt w:val="lowerLetter"/>
      <w:lvlText w:val="%5."/>
      <w:lvlJc w:val="left"/>
      <w:pPr>
        <w:tabs>
          <w:tab w:val="num" w:pos="3600"/>
        </w:tabs>
        <w:ind w:left="3600" w:hanging="360"/>
      </w:pPr>
    </w:lvl>
    <w:lvl w:ilvl="5" w:tplc="8B48D58A" w:tentative="1">
      <w:start w:val="1"/>
      <w:numFmt w:val="lowerRoman"/>
      <w:lvlText w:val="%6."/>
      <w:lvlJc w:val="right"/>
      <w:pPr>
        <w:tabs>
          <w:tab w:val="num" w:pos="4320"/>
        </w:tabs>
        <w:ind w:left="4320" w:hanging="180"/>
      </w:pPr>
    </w:lvl>
    <w:lvl w:ilvl="6" w:tplc="C97C261C" w:tentative="1">
      <w:start w:val="1"/>
      <w:numFmt w:val="decimal"/>
      <w:lvlText w:val="%7."/>
      <w:lvlJc w:val="left"/>
      <w:pPr>
        <w:tabs>
          <w:tab w:val="num" w:pos="5040"/>
        </w:tabs>
        <w:ind w:left="5040" w:hanging="360"/>
      </w:pPr>
    </w:lvl>
    <w:lvl w:ilvl="7" w:tplc="5EFC4B6A" w:tentative="1">
      <w:start w:val="1"/>
      <w:numFmt w:val="lowerLetter"/>
      <w:lvlText w:val="%8."/>
      <w:lvlJc w:val="left"/>
      <w:pPr>
        <w:tabs>
          <w:tab w:val="num" w:pos="5760"/>
        </w:tabs>
        <w:ind w:left="5760" w:hanging="360"/>
      </w:pPr>
    </w:lvl>
    <w:lvl w:ilvl="8" w:tplc="AB5A4148" w:tentative="1">
      <w:start w:val="1"/>
      <w:numFmt w:val="lowerRoman"/>
      <w:lvlText w:val="%9."/>
      <w:lvlJc w:val="right"/>
      <w:pPr>
        <w:tabs>
          <w:tab w:val="num" w:pos="6480"/>
        </w:tabs>
        <w:ind w:left="6480" w:hanging="180"/>
      </w:pPr>
    </w:lvl>
  </w:abstractNum>
  <w:abstractNum w:abstractNumId="27" w15:restartNumberingAfterBreak="0">
    <w:nsid w:val="75D705B5"/>
    <w:multiLevelType w:val="multilevel"/>
    <w:tmpl w:val="77E4F082"/>
    <w:lvl w:ilvl="0">
      <w:start w:val="1"/>
      <w:numFmt w:val="decimal"/>
      <w:lvlText w:val="%1."/>
      <w:lvlJc w:val="left"/>
      <w:pPr>
        <w:ind w:left="720" w:hanging="360"/>
      </w:pPr>
    </w:lvl>
    <w:lvl w:ilvl="1">
      <w:start w:val="1"/>
      <w:numFmt w:val="decimal"/>
      <w:isLgl/>
      <w:lvlText w:val="%1.%2"/>
      <w:lvlJc w:val="left"/>
      <w:pPr>
        <w:ind w:left="930" w:hanging="390"/>
      </w:pPr>
      <w:rPr>
        <w:rFonts w:ascii="Georgia" w:hAnsi="Georgia" w:hint="default"/>
        <w:color w:val="4F81BD"/>
        <w:sz w:val="20"/>
        <w:szCs w:val="2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7A310A0F"/>
    <w:multiLevelType w:val="multilevel"/>
    <w:tmpl w:val="81E0E3F6"/>
    <w:lvl w:ilvl="0">
      <w:start w:val="1"/>
      <w:numFmt w:val="decimal"/>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C9063F0"/>
    <w:multiLevelType w:val="hybridMultilevel"/>
    <w:tmpl w:val="27F07D66"/>
    <w:lvl w:ilvl="0" w:tplc="0FE0868A">
      <w:start w:val="1"/>
      <w:numFmt w:val="upperRoman"/>
      <w:lvlText w:val="%1."/>
      <w:lvlJc w:val="righ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8"/>
  </w:num>
  <w:num w:numId="13">
    <w:abstractNumId w:val="5"/>
  </w:num>
  <w:num w:numId="14">
    <w:abstractNumId w:val="1"/>
  </w:num>
  <w:num w:numId="15">
    <w:abstractNumId w:val="8"/>
  </w:num>
  <w:num w:numId="16">
    <w:abstractNumId w:val="16"/>
  </w:num>
  <w:num w:numId="17">
    <w:abstractNumId w:val="23"/>
  </w:num>
  <w:num w:numId="18">
    <w:abstractNumId w:val="19"/>
  </w:num>
  <w:num w:numId="19">
    <w:abstractNumId w:val="24"/>
  </w:num>
  <w:num w:numId="20">
    <w:abstractNumId w:val="26"/>
  </w:num>
  <w:num w:numId="21">
    <w:abstractNumId w:val="12"/>
  </w:num>
  <w:num w:numId="22">
    <w:abstractNumId w:val="29"/>
  </w:num>
  <w:num w:numId="23">
    <w:abstractNumId w:val="21"/>
  </w:num>
  <w:num w:numId="24">
    <w:abstractNumId w:val="28"/>
  </w:num>
  <w:num w:numId="25">
    <w:abstractNumId w:val="7"/>
  </w:num>
  <w:num w:numId="26">
    <w:abstractNumId w:val="17"/>
  </w:num>
  <w:num w:numId="27">
    <w:abstractNumId w:val="14"/>
  </w:num>
  <w:num w:numId="28">
    <w:abstractNumId w:val="13"/>
  </w:num>
  <w:num w:numId="29">
    <w:abstractNumId w:val="11"/>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0sjAyMTY0AgIzMyUdpeDU4uLM/DyQAsNaAAWDvUksAAAA"/>
  </w:docVars>
  <w:rsids>
    <w:rsidRoot w:val="00E445B8"/>
    <w:rsid w:val="000055A0"/>
    <w:rsid w:val="00007EBD"/>
    <w:rsid w:val="00010367"/>
    <w:rsid w:val="00010D43"/>
    <w:rsid w:val="0001143B"/>
    <w:rsid w:val="00013284"/>
    <w:rsid w:val="00014506"/>
    <w:rsid w:val="0001535E"/>
    <w:rsid w:val="00015CF0"/>
    <w:rsid w:val="00017768"/>
    <w:rsid w:val="00022759"/>
    <w:rsid w:val="00023342"/>
    <w:rsid w:val="00023C89"/>
    <w:rsid w:val="00024730"/>
    <w:rsid w:val="00030116"/>
    <w:rsid w:val="000319DF"/>
    <w:rsid w:val="00032DF1"/>
    <w:rsid w:val="000331C0"/>
    <w:rsid w:val="00036EE7"/>
    <w:rsid w:val="000436B8"/>
    <w:rsid w:val="00044634"/>
    <w:rsid w:val="00046060"/>
    <w:rsid w:val="00057BBE"/>
    <w:rsid w:val="00060251"/>
    <w:rsid w:val="0006222E"/>
    <w:rsid w:val="0007225F"/>
    <w:rsid w:val="0007347D"/>
    <w:rsid w:val="000737F0"/>
    <w:rsid w:val="000812BE"/>
    <w:rsid w:val="000826EF"/>
    <w:rsid w:val="00084E4B"/>
    <w:rsid w:val="00091C4A"/>
    <w:rsid w:val="00093C4D"/>
    <w:rsid w:val="000A076A"/>
    <w:rsid w:val="000A4FBF"/>
    <w:rsid w:val="000A6A94"/>
    <w:rsid w:val="000A72CC"/>
    <w:rsid w:val="000A7DCA"/>
    <w:rsid w:val="000B0CA3"/>
    <w:rsid w:val="000B7D81"/>
    <w:rsid w:val="000C0E29"/>
    <w:rsid w:val="000C2D6C"/>
    <w:rsid w:val="000C3539"/>
    <w:rsid w:val="000C420B"/>
    <w:rsid w:val="000C5989"/>
    <w:rsid w:val="000D3FE9"/>
    <w:rsid w:val="000E2799"/>
    <w:rsid w:val="000E3BEB"/>
    <w:rsid w:val="000E3E18"/>
    <w:rsid w:val="000E6397"/>
    <w:rsid w:val="000E6F80"/>
    <w:rsid w:val="000F0183"/>
    <w:rsid w:val="000F3B1B"/>
    <w:rsid w:val="000F606D"/>
    <w:rsid w:val="00100B5A"/>
    <w:rsid w:val="00101229"/>
    <w:rsid w:val="00102909"/>
    <w:rsid w:val="00103D39"/>
    <w:rsid w:val="00104ED2"/>
    <w:rsid w:val="001057C4"/>
    <w:rsid w:val="00106331"/>
    <w:rsid w:val="00113753"/>
    <w:rsid w:val="001176F7"/>
    <w:rsid w:val="001238DB"/>
    <w:rsid w:val="0012476E"/>
    <w:rsid w:val="00134E7A"/>
    <w:rsid w:val="0013629B"/>
    <w:rsid w:val="00142369"/>
    <w:rsid w:val="001647DB"/>
    <w:rsid w:val="00165289"/>
    <w:rsid w:val="00165981"/>
    <w:rsid w:val="00165D3E"/>
    <w:rsid w:val="0017025F"/>
    <w:rsid w:val="0018031D"/>
    <w:rsid w:val="00182898"/>
    <w:rsid w:val="00187CB7"/>
    <w:rsid w:val="00190494"/>
    <w:rsid w:val="00190815"/>
    <w:rsid w:val="00195B63"/>
    <w:rsid w:val="001A50C4"/>
    <w:rsid w:val="001A5666"/>
    <w:rsid w:val="001A7992"/>
    <w:rsid w:val="001B00D5"/>
    <w:rsid w:val="001B107A"/>
    <w:rsid w:val="001B6095"/>
    <w:rsid w:val="001C0209"/>
    <w:rsid w:val="001C262D"/>
    <w:rsid w:val="001C2E33"/>
    <w:rsid w:val="001C4784"/>
    <w:rsid w:val="001C573F"/>
    <w:rsid w:val="001C6455"/>
    <w:rsid w:val="001C7293"/>
    <w:rsid w:val="001D0B9F"/>
    <w:rsid w:val="001D1727"/>
    <w:rsid w:val="001D253E"/>
    <w:rsid w:val="001D5907"/>
    <w:rsid w:val="001D7240"/>
    <w:rsid w:val="001E0288"/>
    <w:rsid w:val="001E12D4"/>
    <w:rsid w:val="001E577B"/>
    <w:rsid w:val="001E5DCA"/>
    <w:rsid w:val="001E63B7"/>
    <w:rsid w:val="001E68C9"/>
    <w:rsid w:val="001E7BB2"/>
    <w:rsid w:val="001F28D5"/>
    <w:rsid w:val="00202A82"/>
    <w:rsid w:val="0020512D"/>
    <w:rsid w:val="00220734"/>
    <w:rsid w:val="00220AC3"/>
    <w:rsid w:val="00224D5C"/>
    <w:rsid w:val="00234336"/>
    <w:rsid w:val="00241BBB"/>
    <w:rsid w:val="00242F53"/>
    <w:rsid w:val="002501CD"/>
    <w:rsid w:val="0025105F"/>
    <w:rsid w:val="002522D3"/>
    <w:rsid w:val="00254076"/>
    <w:rsid w:val="00255F80"/>
    <w:rsid w:val="002574DB"/>
    <w:rsid w:val="00257AB9"/>
    <w:rsid w:val="0026147B"/>
    <w:rsid w:val="00262146"/>
    <w:rsid w:val="002630AF"/>
    <w:rsid w:val="002745CC"/>
    <w:rsid w:val="002805BF"/>
    <w:rsid w:val="00281D79"/>
    <w:rsid w:val="0028275E"/>
    <w:rsid w:val="0029072B"/>
    <w:rsid w:val="00297FA8"/>
    <w:rsid w:val="002A3BAB"/>
    <w:rsid w:val="002B2942"/>
    <w:rsid w:val="002C5212"/>
    <w:rsid w:val="002C5619"/>
    <w:rsid w:val="002D0B9A"/>
    <w:rsid w:val="002D0E7D"/>
    <w:rsid w:val="002D2C6F"/>
    <w:rsid w:val="002D3B7D"/>
    <w:rsid w:val="002E590C"/>
    <w:rsid w:val="002F7A56"/>
    <w:rsid w:val="003123EB"/>
    <w:rsid w:val="00313A22"/>
    <w:rsid w:val="00313DC3"/>
    <w:rsid w:val="00314102"/>
    <w:rsid w:val="0031495A"/>
    <w:rsid w:val="00317F37"/>
    <w:rsid w:val="00320825"/>
    <w:rsid w:val="003217A3"/>
    <w:rsid w:val="00321E70"/>
    <w:rsid w:val="00321F0C"/>
    <w:rsid w:val="00322DF6"/>
    <w:rsid w:val="0032484C"/>
    <w:rsid w:val="00326A22"/>
    <w:rsid w:val="00331814"/>
    <w:rsid w:val="0034118D"/>
    <w:rsid w:val="00347D08"/>
    <w:rsid w:val="00351575"/>
    <w:rsid w:val="00353FAC"/>
    <w:rsid w:val="00356B6F"/>
    <w:rsid w:val="0036242A"/>
    <w:rsid w:val="0036348C"/>
    <w:rsid w:val="003638B2"/>
    <w:rsid w:val="00363DFF"/>
    <w:rsid w:val="00364D0C"/>
    <w:rsid w:val="0037518C"/>
    <w:rsid w:val="00381783"/>
    <w:rsid w:val="00381925"/>
    <w:rsid w:val="0038290D"/>
    <w:rsid w:val="00383FD4"/>
    <w:rsid w:val="00384BFE"/>
    <w:rsid w:val="0038538C"/>
    <w:rsid w:val="00393B47"/>
    <w:rsid w:val="00393B5F"/>
    <w:rsid w:val="00395046"/>
    <w:rsid w:val="00396AF0"/>
    <w:rsid w:val="003A0B50"/>
    <w:rsid w:val="003A20A7"/>
    <w:rsid w:val="003A711A"/>
    <w:rsid w:val="003B1A8B"/>
    <w:rsid w:val="003B4962"/>
    <w:rsid w:val="003C4D68"/>
    <w:rsid w:val="003C5DC2"/>
    <w:rsid w:val="003C6012"/>
    <w:rsid w:val="003D1B91"/>
    <w:rsid w:val="003D63C0"/>
    <w:rsid w:val="003D76C8"/>
    <w:rsid w:val="003E0451"/>
    <w:rsid w:val="003E34DC"/>
    <w:rsid w:val="003F378A"/>
    <w:rsid w:val="003F6BF4"/>
    <w:rsid w:val="0040455B"/>
    <w:rsid w:val="004046A1"/>
    <w:rsid w:val="00406724"/>
    <w:rsid w:val="0041749E"/>
    <w:rsid w:val="004203DC"/>
    <w:rsid w:val="004214BA"/>
    <w:rsid w:val="00424E11"/>
    <w:rsid w:val="00427C17"/>
    <w:rsid w:val="0043309C"/>
    <w:rsid w:val="00436923"/>
    <w:rsid w:val="00450D9A"/>
    <w:rsid w:val="0045352A"/>
    <w:rsid w:val="00464D74"/>
    <w:rsid w:val="004654E8"/>
    <w:rsid w:val="00471444"/>
    <w:rsid w:val="00471D69"/>
    <w:rsid w:val="00473E0A"/>
    <w:rsid w:val="00491829"/>
    <w:rsid w:val="00493956"/>
    <w:rsid w:val="0049773F"/>
    <w:rsid w:val="00497ED9"/>
    <w:rsid w:val="004A0CC5"/>
    <w:rsid w:val="004A17CB"/>
    <w:rsid w:val="004A2947"/>
    <w:rsid w:val="004A2A7A"/>
    <w:rsid w:val="004A3573"/>
    <w:rsid w:val="004A4742"/>
    <w:rsid w:val="004A4A89"/>
    <w:rsid w:val="004A7264"/>
    <w:rsid w:val="004B0B13"/>
    <w:rsid w:val="004B7204"/>
    <w:rsid w:val="004C2D7C"/>
    <w:rsid w:val="004C3289"/>
    <w:rsid w:val="004C4259"/>
    <w:rsid w:val="004D261B"/>
    <w:rsid w:val="004D42ED"/>
    <w:rsid w:val="004D4758"/>
    <w:rsid w:val="004D504D"/>
    <w:rsid w:val="004D75A5"/>
    <w:rsid w:val="004F1B03"/>
    <w:rsid w:val="004F31DE"/>
    <w:rsid w:val="004F335C"/>
    <w:rsid w:val="004F368A"/>
    <w:rsid w:val="00505F5B"/>
    <w:rsid w:val="00506D17"/>
    <w:rsid w:val="005110A3"/>
    <w:rsid w:val="00511396"/>
    <w:rsid w:val="005118A8"/>
    <w:rsid w:val="005143D5"/>
    <w:rsid w:val="00522ECC"/>
    <w:rsid w:val="0052432C"/>
    <w:rsid w:val="005253D7"/>
    <w:rsid w:val="00525E8A"/>
    <w:rsid w:val="00551B96"/>
    <w:rsid w:val="005532A1"/>
    <w:rsid w:val="00553733"/>
    <w:rsid w:val="00560DDA"/>
    <w:rsid w:val="00563CA6"/>
    <w:rsid w:val="00564083"/>
    <w:rsid w:val="00567CF7"/>
    <w:rsid w:val="00571FAE"/>
    <w:rsid w:val="0057768F"/>
    <w:rsid w:val="00581168"/>
    <w:rsid w:val="005811DE"/>
    <w:rsid w:val="00581BA3"/>
    <w:rsid w:val="00582111"/>
    <w:rsid w:val="00582552"/>
    <w:rsid w:val="00583E44"/>
    <w:rsid w:val="00587B47"/>
    <w:rsid w:val="005926B0"/>
    <w:rsid w:val="0059312D"/>
    <w:rsid w:val="005934A2"/>
    <w:rsid w:val="00595FFC"/>
    <w:rsid w:val="005A06FA"/>
    <w:rsid w:val="005A22B0"/>
    <w:rsid w:val="005A4CEB"/>
    <w:rsid w:val="005A61C8"/>
    <w:rsid w:val="005A75C1"/>
    <w:rsid w:val="005B0914"/>
    <w:rsid w:val="005B1623"/>
    <w:rsid w:val="005B30F0"/>
    <w:rsid w:val="005B6CF0"/>
    <w:rsid w:val="005B7FA2"/>
    <w:rsid w:val="005C0454"/>
    <w:rsid w:val="005C2C62"/>
    <w:rsid w:val="005C2E03"/>
    <w:rsid w:val="005C570A"/>
    <w:rsid w:val="005D12D1"/>
    <w:rsid w:val="005D2F21"/>
    <w:rsid w:val="005D50E3"/>
    <w:rsid w:val="005E19D7"/>
    <w:rsid w:val="005F0C51"/>
    <w:rsid w:val="005F437F"/>
    <w:rsid w:val="005F4D44"/>
    <w:rsid w:val="005F587C"/>
    <w:rsid w:val="005F7B05"/>
    <w:rsid w:val="00600541"/>
    <w:rsid w:val="00601C3F"/>
    <w:rsid w:val="00612726"/>
    <w:rsid w:val="00614A7A"/>
    <w:rsid w:val="00623B3C"/>
    <w:rsid w:val="00625D6F"/>
    <w:rsid w:val="00627559"/>
    <w:rsid w:val="00632A19"/>
    <w:rsid w:val="00633567"/>
    <w:rsid w:val="00633D44"/>
    <w:rsid w:val="006344FD"/>
    <w:rsid w:val="006351A3"/>
    <w:rsid w:val="00635877"/>
    <w:rsid w:val="00636ADD"/>
    <w:rsid w:val="00641FFC"/>
    <w:rsid w:val="006451B6"/>
    <w:rsid w:val="00646DD5"/>
    <w:rsid w:val="00651146"/>
    <w:rsid w:val="006556CF"/>
    <w:rsid w:val="00657791"/>
    <w:rsid w:val="006615F7"/>
    <w:rsid w:val="00666260"/>
    <w:rsid w:val="006672A6"/>
    <w:rsid w:val="00667EF4"/>
    <w:rsid w:val="00671893"/>
    <w:rsid w:val="00674ED7"/>
    <w:rsid w:val="0068259C"/>
    <w:rsid w:val="00684ADB"/>
    <w:rsid w:val="00687795"/>
    <w:rsid w:val="00692143"/>
    <w:rsid w:val="00692B22"/>
    <w:rsid w:val="006930B4"/>
    <w:rsid w:val="00693624"/>
    <w:rsid w:val="00696CB0"/>
    <w:rsid w:val="006B1637"/>
    <w:rsid w:val="006B39E0"/>
    <w:rsid w:val="006B6106"/>
    <w:rsid w:val="006C173E"/>
    <w:rsid w:val="006C4B6E"/>
    <w:rsid w:val="006D126C"/>
    <w:rsid w:val="006D7DEE"/>
    <w:rsid w:val="006D7F1C"/>
    <w:rsid w:val="006E3A04"/>
    <w:rsid w:val="006E6EA7"/>
    <w:rsid w:val="006F0243"/>
    <w:rsid w:val="006F31E7"/>
    <w:rsid w:val="006F51DB"/>
    <w:rsid w:val="006F6CDC"/>
    <w:rsid w:val="00701A9B"/>
    <w:rsid w:val="00703334"/>
    <w:rsid w:val="007068D4"/>
    <w:rsid w:val="00711852"/>
    <w:rsid w:val="00712CE9"/>
    <w:rsid w:val="00720FEE"/>
    <w:rsid w:val="00721009"/>
    <w:rsid w:val="00721BFC"/>
    <w:rsid w:val="00722144"/>
    <w:rsid w:val="007221DB"/>
    <w:rsid w:val="00730A2C"/>
    <w:rsid w:val="00732026"/>
    <w:rsid w:val="00737D9C"/>
    <w:rsid w:val="007400B4"/>
    <w:rsid w:val="007410F4"/>
    <w:rsid w:val="00750648"/>
    <w:rsid w:val="00755CB2"/>
    <w:rsid w:val="00757C87"/>
    <w:rsid w:val="00762F59"/>
    <w:rsid w:val="00766A82"/>
    <w:rsid w:val="00767C45"/>
    <w:rsid w:val="007759B0"/>
    <w:rsid w:val="007808B7"/>
    <w:rsid w:val="00782AAD"/>
    <w:rsid w:val="00785041"/>
    <w:rsid w:val="007864D7"/>
    <w:rsid w:val="007876A8"/>
    <w:rsid w:val="00791605"/>
    <w:rsid w:val="007923B4"/>
    <w:rsid w:val="00796066"/>
    <w:rsid w:val="00797C44"/>
    <w:rsid w:val="007A555A"/>
    <w:rsid w:val="007A5E00"/>
    <w:rsid w:val="007B1974"/>
    <w:rsid w:val="007B3E12"/>
    <w:rsid w:val="007B5ADE"/>
    <w:rsid w:val="007C0EEE"/>
    <w:rsid w:val="007C26D0"/>
    <w:rsid w:val="007C2DFB"/>
    <w:rsid w:val="007C4320"/>
    <w:rsid w:val="007C684D"/>
    <w:rsid w:val="007C78A8"/>
    <w:rsid w:val="007D2127"/>
    <w:rsid w:val="007D3695"/>
    <w:rsid w:val="007D59E9"/>
    <w:rsid w:val="007D647E"/>
    <w:rsid w:val="007E0E72"/>
    <w:rsid w:val="007E192F"/>
    <w:rsid w:val="007E3FB8"/>
    <w:rsid w:val="007E5D7D"/>
    <w:rsid w:val="007F01D7"/>
    <w:rsid w:val="007F1542"/>
    <w:rsid w:val="007F4798"/>
    <w:rsid w:val="007F4C0C"/>
    <w:rsid w:val="007F5728"/>
    <w:rsid w:val="007F5890"/>
    <w:rsid w:val="00805CEF"/>
    <w:rsid w:val="008066A6"/>
    <w:rsid w:val="00806D6C"/>
    <w:rsid w:val="00807502"/>
    <w:rsid w:val="008103F6"/>
    <w:rsid w:val="00811DD2"/>
    <w:rsid w:val="00813B35"/>
    <w:rsid w:val="008157D4"/>
    <w:rsid w:val="00816F31"/>
    <w:rsid w:val="00817B79"/>
    <w:rsid w:val="00817E0D"/>
    <w:rsid w:val="0082186E"/>
    <w:rsid w:val="00826988"/>
    <w:rsid w:val="008302FD"/>
    <w:rsid w:val="008311A1"/>
    <w:rsid w:val="00845CDD"/>
    <w:rsid w:val="00851266"/>
    <w:rsid w:val="008515C8"/>
    <w:rsid w:val="008612CF"/>
    <w:rsid w:val="0086375F"/>
    <w:rsid w:val="008654AA"/>
    <w:rsid w:val="00872672"/>
    <w:rsid w:val="00873027"/>
    <w:rsid w:val="00875117"/>
    <w:rsid w:val="0087662A"/>
    <w:rsid w:val="00885739"/>
    <w:rsid w:val="00885D2B"/>
    <w:rsid w:val="0089124A"/>
    <w:rsid w:val="00891843"/>
    <w:rsid w:val="0089265B"/>
    <w:rsid w:val="00895EEE"/>
    <w:rsid w:val="00897914"/>
    <w:rsid w:val="008A0D88"/>
    <w:rsid w:val="008A338F"/>
    <w:rsid w:val="008A3B23"/>
    <w:rsid w:val="008A5A0A"/>
    <w:rsid w:val="008A69F4"/>
    <w:rsid w:val="008B5514"/>
    <w:rsid w:val="008B7C34"/>
    <w:rsid w:val="008C3AF4"/>
    <w:rsid w:val="008E3989"/>
    <w:rsid w:val="008E757A"/>
    <w:rsid w:val="008E7E9A"/>
    <w:rsid w:val="008F0645"/>
    <w:rsid w:val="00905037"/>
    <w:rsid w:val="00906B17"/>
    <w:rsid w:val="00906F80"/>
    <w:rsid w:val="009117D2"/>
    <w:rsid w:val="00915C3E"/>
    <w:rsid w:val="009162FA"/>
    <w:rsid w:val="00924DFF"/>
    <w:rsid w:val="00924F67"/>
    <w:rsid w:val="00934696"/>
    <w:rsid w:val="00937E5A"/>
    <w:rsid w:val="009463AA"/>
    <w:rsid w:val="009478FB"/>
    <w:rsid w:val="009513E5"/>
    <w:rsid w:val="00957CEA"/>
    <w:rsid w:val="00961E00"/>
    <w:rsid w:val="00963213"/>
    <w:rsid w:val="00966051"/>
    <w:rsid w:val="0097014B"/>
    <w:rsid w:val="00973B13"/>
    <w:rsid w:val="0097634B"/>
    <w:rsid w:val="00977490"/>
    <w:rsid w:val="009819E6"/>
    <w:rsid w:val="00985D2B"/>
    <w:rsid w:val="00990A87"/>
    <w:rsid w:val="00991BE8"/>
    <w:rsid w:val="0099654D"/>
    <w:rsid w:val="009A1C22"/>
    <w:rsid w:val="009A2777"/>
    <w:rsid w:val="009A4A54"/>
    <w:rsid w:val="009A63FF"/>
    <w:rsid w:val="009B36AF"/>
    <w:rsid w:val="009C15C9"/>
    <w:rsid w:val="009C1CCC"/>
    <w:rsid w:val="009C1F38"/>
    <w:rsid w:val="009C7C41"/>
    <w:rsid w:val="009D5672"/>
    <w:rsid w:val="009E5A73"/>
    <w:rsid w:val="009F38FE"/>
    <w:rsid w:val="009F4814"/>
    <w:rsid w:val="009F71C0"/>
    <w:rsid w:val="00A03325"/>
    <w:rsid w:val="00A04DF3"/>
    <w:rsid w:val="00A06ACF"/>
    <w:rsid w:val="00A15440"/>
    <w:rsid w:val="00A1623E"/>
    <w:rsid w:val="00A17076"/>
    <w:rsid w:val="00A17723"/>
    <w:rsid w:val="00A17929"/>
    <w:rsid w:val="00A219AE"/>
    <w:rsid w:val="00A252EB"/>
    <w:rsid w:val="00A26281"/>
    <w:rsid w:val="00A458F4"/>
    <w:rsid w:val="00A4759A"/>
    <w:rsid w:val="00A545C2"/>
    <w:rsid w:val="00A573D7"/>
    <w:rsid w:val="00A64ADC"/>
    <w:rsid w:val="00A66C40"/>
    <w:rsid w:val="00A73025"/>
    <w:rsid w:val="00A771AA"/>
    <w:rsid w:val="00A84ACB"/>
    <w:rsid w:val="00A9048B"/>
    <w:rsid w:val="00A94D67"/>
    <w:rsid w:val="00AA1286"/>
    <w:rsid w:val="00AA31B5"/>
    <w:rsid w:val="00AA3C78"/>
    <w:rsid w:val="00AA6274"/>
    <w:rsid w:val="00AA66B3"/>
    <w:rsid w:val="00AA7E6A"/>
    <w:rsid w:val="00AB180E"/>
    <w:rsid w:val="00AB1B4E"/>
    <w:rsid w:val="00AB3A0E"/>
    <w:rsid w:val="00AB4103"/>
    <w:rsid w:val="00AB772F"/>
    <w:rsid w:val="00AB79A2"/>
    <w:rsid w:val="00AC11AC"/>
    <w:rsid w:val="00AC293F"/>
    <w:rsid w:val="00AC2D90"/>
    <w:rsid w:val="00AD40B1"/>
    <w:rsid w:val="00AE087F"/>
    <w:rsid w:val="00AE141B"/>
    <w:rsid w:val="00AE4AA0"/>
    <w:rsid w:val="00AE61FF"/>
    <w:rsid w:val="00AE7055"/>
    <w:rsid w:val="00AE72A3"/>
    <w:rsid w:val="00AF23E9"/>
    <w:rsid w:val="00AF6A89"/>
    <w:rsid w:val="00AF7369"/>
    <w:rsid w:val="00B00167"/>
    <w:rsid w:val="00B047DB"/>
    <w:rsid w:val="00B20D79"/>
    <w:rsid w:val="00B2187C"/>
    <w:rsid w:val="00B25D7A"/>
    <w:rsid w:val="00B26F04"/>
    <w:rsid w:val="00B3306F"/>
    <w:rsid w:val="00B40DF6"/>
    <w:rsid w:val="00B450F8"/>
    <w:rsid w:val="00B51307"/>
    <w:rsid w:val="00B537B0"/>
    <w:rsid w:val="00B56515"/>
    <w:rsid w:val="00B607BF"/>
    <w:rsid w:val="00B63793"/>
    <w:rsid w:val="00B64013"/>
    <w:rsid w:val="00B656DD"/>
    <w:rsid w:val="00B75087"/>
    <w:rsid w:val="00B7513B"/>
    <w:rsid w:val="00B751BD"/>
    <w:rsid w:val="00B7694D"/>
    <w:rsid w:val="00B8390B"/>
    <w:rsid w:val="00B905BE"/>
    <w:rsid w:val="00B932E2"/>
    <w:rsid w:val="00B97C9F"/>
    <w:rsid w:val="00BA104A"/>
    <w:rsid w:val="00BA2811"/>
    <w:rsid w:val="00BA368F"/>
    <w:rsid w:val="00BA42C1"/>
    <w:rsid w:val="00BA4BA5"/>
    <w:rsid w:val="00BA5F1C"/>
    <w:rsid w:val="00BB20BA"/>
    <w:rsid w:val="00BB4913"/>
    <w:rsid w:val="00BC36FD"/>
    <w:rsid w:val="00BC4F79"/>
    <w:rsid w:val="00BD7D77"/>
    <w:rsid w:val="00BE0446"/>
    <w:rsid w:val="00BE5A1B"/>
    <w:rsid w:val="00BF1227"/>
    <w:rsid w:val="00BF5F32"/>
    <w:rsid w:val="00C02044"/>
    <w:rsid w:val="00C04839"/>
    <w:rsid w:val="00C04D4E"/>
    <w:rsid w:val="00C07C0D"/>
    <w:rsid w:val="00C1610C"/>
    <w:rsid w:val="00C16D57"/>
    <w:rsid w:val="00C2449E"/>
    <w:rsid w:val="00C31127"/>
    <w:rsid w:val="00C37224"/>
    <w:rsid w:val="00C40376"/>
    <w:rsid w:val="00C41251"/>
    <w:rsid w:val="00C413B2"/>
    <w:rsid w:val="00C43325"/>
    <w:rsid w:val="00C433E2"/>
    <w:rsid w:val="00C44CA0"/>
    <w:rsid w:val="00C45F0C"/>
    <w:rsid w:val="00C55259"/>
    <w:rsid w:val="00C562C4"/>
    <w:rsid w:val="00C60378"/>
    <w:rsid w:val="00C626FC"/>
    <w:rsid w:val="00C70771"/>
    <w:rsid w:val="00C7117E"/>
    <w:rsid w:val="00C7207F"/>
    <w:rsid w:val="00C76F7C"/>
    <w:rsid w:val="00C8235A"/>
    <w:rsid w:val="00C82638"/>
    <w:rsid w:val="00C82D07"/>
    <w:rsid w:val="00C83BA3"/>
    <w:rsid w:val="00C841C7"/>
    <w:rsid w:val="00C8659F"/>
    <w:rsid w:val="00C865FC"/>
    <w:rsid w:val="00C94A2A"/>
    <w:rsid w:val="00CA3547"/>
    <w:rsid w:val="00CA6CD7"/>
    <w:rsid w:val="00CB0F6B"/>
    <w:rsid w:val="00CB2DA7"/>
    <w:rsid w:val="00CB7C9A"/>
    <w:rsid w:val="00CC1B62"/>
    <w:rsid w:val="00CD04DF"/>
    <w:rsid w:val="00CD3251"/>
    <w:rsid w:val="00CD595A"/>
    <w:rsid w:val="00CD5A32"/>
    <w:rsid w:val="00CD771A"/>
    <w:rsid w:val="00CE58F4"/>
    <w:rsid w:val="00CE6C8E"/>
    <w:rsid w:val="00CF45D3"/>
    <w:rsid w:val="00CF4A99"/>
    <w:rsid w:val="00CF6B78"/>
    <w:rsid w:val="00CF73A8"/>
    <w:rsid w:val="00D004AD"/>
    <w:rsid w:val="00D00668"/>
    <w:rsid w:val="00D00E92"/>
    <w:rsid w:val="00D057BF"/>
    <w:rsid w:val="00D05E11"/>
    <w:rsid w:val="00D1018C"/>
    <w:rsid w:val="00D1095D"/>
    <w:rsid w:val="00D12922"/>
    <w:rsid w:val="00D13D55"/>
    <w:rsid w:val="00D14D31"/>
    <w:rsid w:val="00D16682"/>
    <w:rsid w:val="00D16CFA"/>
    <w:rsid w:val="00D20BFA"/>
    <w:rsid w:val="00D23BDE"/>
    <w:rsid w:val="00D30499"/>
    <w:rsid w:val="00D3534C"/>
    <w:rsid w:val="00D37894"/>
    <w:rsid w:val="00D409B1"/>
    <w:rsid w:val="00D40AC3"/>
    <w:rsid w:val="00D530EB"/>
    <w:rsid w:val="00D5733A"/>
    <w:rsid w:val="00D615C7"/>
    <w:rsid w:val="00D668C7"/>
    <w:rsid w:val="00D72D8C"/>
    <w:rsid w:val="00D73C5C"/>
    <w:rsid w:val="00D74FAE"/>
    <w:rsid w:val="00D758B3"/>
    <w:rsid w:val="00D807EF"/>
    <w:rsid w:val="00D85453"/>
    <w:rsid w:val="00D85CB2"/>
    <w:rsid w:val="00D902D2"/>
    <w:rsid w:val="00D95D31"/>
    <w:rsid w:val="00DA1CEF"/>
    <w:rsid w:val="00DB51E0"/>
    <w:rsid w:val="00DB5494"/>
    <w:rsid w:val="00DB6D13"/>
    <w:rsid w:val="00DC27B7"/>
    <w:rsid w:val="00DC3970"/>
    <w:rsid w:val="00DC401C"/>
    <w:rsid w:val="00DC6FA1"/>
    <w:rsid w:val="00DE0B96"/>
    <w:rsid w:val="00DE1F17"/>
    <w:rsid w:val="00DE3FDA"/>
    <w:rsid w:val="00DE4819"/>
    <w:rsid w:val="00DE62DF"/>
    <w:rsid w:val="00DE6C2E"/>
    <w:rsid w:val="00DE6DDC"/>
    <w:rsid w:val="00DE6EA3"/>
    <w:rsid w:val="00DF03BE"/>
    <w:rsid w:val="00DF5DFB"/>
    <w:rsid w:val="00DF68FA"/>
    <w:rsid w:val="00DF7433"/>
    <w:rsid w:val="00E0052C"/>
    <w:rsid w:val="00E00635"/>
    <w:rsid w:val="00E01479"/>
    <w:rsid w:val="00E01A0E"/>
    <w:rsid w:val="00E020AB"/>
    <w:rsid w:val="00E02AEB"/>
    <w:rsid w:val="00E135CA"/>
    <w:rsid w:val="00E13F85"/>
    <w:rsid w:val="00E1439D"/>
    <w:rsid w:val="00E174A0"/>
    <w:rsid w:val="00E22548"/>
    <w:rsid w:val="00E228D6"/>
    <w:rsid w:val="00E2313F"/>
    <w:rsid w:val="00E235E6"/>
    <w:rsid w:val="00E2416A"/>
    <w:rsid w:val="00E2645F"/>
    <w:rsid w:val="00E419EB"/>
    <w:rsid w:val="00E444EA"/>
    <w:rsid w:val="00E445B8"/>
    <w:rsid w:val="00E45725"/>
    <w:rsid w:val="00E46512"/>
    <w:rsid w:val="00E46F84"/>
    <w:rsid w:val="00E51F60"/>
    <w:rsid w:val="00E55F43"/>
    <w:rsid w:val="00E65981"/>
    <w:rsid w:val="00E67A6E"/>
    <w:rsid w:val="00E71EAF"/>
    <w:rsid w:val="00E7460B"/>
    <w:rsid w:val="00E768E1"/>
    <w:rsid w:val="00E80911"/>
    <w:rsid w:val="00E84144"/>
    <w:rsid w:val="00E85320"/>
    <w:rsid w:val="00E969B3"/>
    <w:rsid w:val="00E96BC1"/>
    <w:rsid w:val="00EA01B3"/>
    <w:rsid w:val="00EA1926"/>
    <w:rsid w:val="00EB277E"/>
    <w:rsid w:val="00EB66C0"/>
    <w:rsid w:val="00EB6E51"/>
    <w:rsid w:val="00ED01FB"/>
    <w:rsid w:val="00EE274E"/>
    <w:rsid w:val="00EE41A0"/>
    <w:rsid w:val="00EE4D99"/>
    <w:rsid w:val="00EE7E33"/>
    <w:rsid w:val="00EF16B0"/>
    <w:rsid w:val="00EF2E8B"/>
    <w:rsid w:val="00EF4807"/>
    <w:rsid w:val="00EF5B65"/>
    <w:rsid w:val="00EF755A"/>
    <w:rsid w:val="00F013DB"/>
    <w:rsid w:val="00F04425"/>
    <w:rsid w:val="00F065E7"/>
    <w:rsid w:val="00F101D1"/>
    <w:rsid w:val="00F10B5A"/>
    <w:rsid w:val="00F15AA6"/>
    <w:rsid w:val="00F21099"/>
    <w:rsid w:val="00F25A50"/>
    <w:rsid w:val="00F26D31"/>
    <w:rsid w:val="00F275F2"/>
    <w:rsid w:val="00F369EB"/>
    <w:rsid w:val="00F470F6"/>
    <w:rsid w:val="00F510AA"/>
    <w:rsid w:val="00F527E3"/>
    <w:rsid w:val="00F55E79"/>
    <w:rsid w:val="00F57A90"/>
    <w:rsid w:val="00F62C45"/>
    <w:rsid w:val="00F6532B"/>
    <w:rsid w:val="00F666DC"/>
    <w:rsid w:val="00F679C0"/>
    <w:rsid w:val="00F734F8"/>
    <w:rsid w:val="00F74113"/>
    <w:rsid w:val="00F76838"/>
    <w:rsid w:val="00F80BE1"/>
    <w:rsid w:val="00F8161E"/>
    <w:rsid w:val="00F84F51"/>
    <w:rsid w:val="00F920B8"/>
    <w:rsid w:val="00FB1683"/>
    <w:rsid w:val="00FC0C4E"/>
    <w:rsid w:val="00FC42C7"/>
    <w:rsid w:val="00FC6433"/>
    <w:rsid w:val="00FC7141"/>
    <w:rsid w:val="00FC7E2F"/>
    <w:rsid w:val="00FC7E43"/>
    <w:rsid w:val="00FD005B"/>
    <w:rsid w:val="00FD3D45"/>
    <w:rsid w:val="00FD6C72"/>
    <w:rsid w:val="00FD7DC8"/>
    <w:rsid w:val="00FD7EEC"/>
    <w:rsid w:val="00FE05DA"/>
    <w:rsid w:val="00FE1E9F"/>
    <w:rsid w:val="00FE4014"/>
    <w:rsid w:val="00FE42D1"/>
    <w:rsid w:val="00FE4CFB"/>
    <w:rsid w:val="00FF08AC"/>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2278"/>
  <w15:docId w15:val="{C9C6EC10-D7BF-4CD3-AF02-BE1C5293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B8"/>
    <w:pPr>
      <w:spacing w:after="200" w:line="276" w:lineRule="auto"/>
    </w:pPr>
    <w:rPr>
      <w:lang w:val="en-US"/>
    </w:rPr>
  </w:style>
  <w:style w:type="paragraph" w:styleId="Heading1">
    <w:name w:val="heading 1"/>
    <w:basedOn w:val="Normal"/>
    <w:next w:val="Normal"/>
    <w:link w:val="Heading1Char"/>
    <w:uiPriority w:val="9"/>
    <w:qFormat/>
    <w:rsid w:val="00E445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445B8"/>
    <w:pPr>
      <w:keepNext/>
      <w:keepLines/>
      <w:spacing w:before="200" w:after="0" w:line="240" w:lineRule="auto"/>
      <w:outlineLvl w:val="1"/>
    </w:pPr>
    <w:rPr>
      <w:rFonts w:ascii="Calibri" w:eastAsia="MS Gothic" w:hAnsi="Calibri" w:cs="Times New Roman"/>
      <w:b/>
      <w:bCs/>
      <w:color w:val="4F81BD"/>
      <w:sz w:val="26"/>
      <w:szCs w:val="26"/>
      <w:lang w:val="en-GB"/>
    </w:rPr>
  </w:style>
  <w:style w:type="paragraph" w:styleId="Heading5">
    <w:name w:val="heading 5"/>
    <w:basedOn w:val="Normal"/>
    <w:next w:val="Normal"/>
    <w:link w:val="Heading5Char"/>
    <w:unhideWhenUsed/>
    <w:qFormat/>
    <w:rsid w:val="00DA1C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5B8"/>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E445B8"/>
    <w:rPr>
      <w:rFonts w:ascii="Calibri" w:eastAsia="MS Gothic" w:hAnsi="Calibri" w:cs="Times New Roman"/>
      <w:b/>
      <w:bCs/>
      <w:color w:val="4F81BD"/>
      <w:sz w:val="26"/>
      <w:szCs w:val="26"/>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445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445B8"/>
    <w:rPr>
      <w:rFonts w:ascii="Times New Roman" w:eastAsia="Times New Roman" w:hAnsi="Times New Roman" w:cs="Times New Roman"/>
      <w:sz w:val="20"/>
      <w:szCs w:val="20"/>
      <w:lang w:val="en-US"/>
    </w:rPr>
  </w:style>
  <w:style w:type="character" w:styleId="FootnoteReference">
    <w:name w:val="footnote reference"/>
    <w:uiPriority w:val="99"/>
    <w:rsid w:val="00E445B8"/>
    <w:rPr>
      <w:vertAlign w:val="superscript"/>
    </w:rPr>
  </w:style>
  <w:style w:type="character" w:styleId="Hyperlink">
    <w:name w:val="Hyperlink"/>
    <w:uiPriority w:val="99"/>
    <w:unhideWhenUsed/>
    <w:rsid w:val="00E445B8"/>
    <w:rPr>
      <w:rFonts w:ascii="Times New Roman" w:hAnsi="Times New Roman" w:cs="Times New Roman" w:hint="default"/>
      <w:color w:val="0000FF"/>
      <w:u w:val="single"/>
    </w:rPr>
  </w:style>
  <w:style w:type="paragraph" w:styleId="TOC1">
    <w:name w:val="toc 1"/>
    <w:basedOn w:val="Normal"/>
    <w:next w:val="Normal"/>
    <w:autoRedefine/>
    <w:uiPriority w:val="39"/>
    <w:unhideWhenUsed/>
    <w:qFormat/>
    <w:rsid w:val="00D73C5C"/>
    <w:pPr>
      <w:pBdr>
        <w:top w:val="single" w:sz="8" w:space="4" w:color="A32020"/>
      </w:pBdr>
      <w:shd w:val="clear" w:color="auto" w:fill="FFFFFF"/>
      <w:tabs>
        <w:tab w:val="left" w:pos="660"/>
        <w:tab w:val="right" w:pos="9356"/>
      </w:tabs>
      <w:spacing w:before="120" w:after="120" w:line="240" w:lineRule="atLeast"/>
    </w:pPr>
    <w:rPr>
      <w:rFonts w:ascii="Times New Roman" w:eastAsia="Times New Roman" w:hAnsi="Times New Roman" w:cs="Times New Roman"/>
      <w:sz w:val="20"/>
    </w:rPr>
  </w:style>
  <w:style w:type="paragraph" w:styleId="TOC2">
    <w:name w:val="toc 2"/>
    <w:basedOn w:val="Normal"/>
    <w:next w:val="Normal"/>
    <w:autoRedefine/>
    <w:uiPriority w:val="39"/>
    <w:unhideWhenUsed/>
    <w:qFormat/>
    <w:rsid w:val="00AC2D90"/>
    <w:pPr>
      <w:pBdr>
        <w:top w:val="dotted" w:sz="8" w:space="4" w:color="A32020"/>
      </w:pBdr>
      <w:tabs>
        <w:tab w:val="left" w:pos="450"/>
        <w:tab w:val="right" w:pos="9356"/>
      </w:tabs>
      <w:spacing w:before="120" w:after="120" w:line="240" w:lineRule="atLeast"/>
    </w:pPr>
    <w:rPr>
      <w:rFonts w:ascii="Cambria" w:eastAsia="MS Gothic" w:hAnsi="Cambria" w:cs="Times New Roman"/>
      <w:noProof/>
      <w:sz w:val="20"/>
    </w:rPr>
  </w:style>
  <w:style w:type="paragraph" w:styleId="TOC3">
    <w:name w:val="toc 3"/>
    <w:basedOn w:val="Normal"/>
    <w:next w:val="Normal"/>
    <w:autoRedefine/>
    <w:uiPriority w:val="39"/>
    <w:unhideWhenUsed/>
    <w:qFormat/>
    <w:rsid w:val="00E445B8"/>
    <w:pPr>
      <w:tabs>
        <w:tab w:val="right" w:pos="8941"/>
      </w:tabs>
      <w:spacing w:after="0" w:line="240" w:lineRule="auto"/>
    </w:pPr>
    <w:rPr>
      <w:rFonts w:ascii="Calibri" w:eastAsia="MS Mincho" w:hAnsi="Calibri" w:cs="Times New Roman"/>
      <w:noProof/>
      <w:sz w:val="20"/>
      <w:szCs w:val="20"/>
    </w:rPr>
  </w:style>
  <w:style w:type="paragraph" w:customStyle="1" w:styleId="LightGrid-Accent31">
    <w:name w:val="Light Grid - Accent 31"/>
    <w:basedOn w:val="Normal"/>
    <w:uiPriority w:val="99"/>
    <w:qFormat/>
    <w:rsid w:val="00E445B8"/>
    <w:pPr>
      <w:spacing w:after="0" w:line="240" w:lineRule="auto"/>
      <w:ind w:left="720"/>
      <w:contextualSpacing/>
    </w:pPr>
    <w:rPr>
      <w:rFonts w:ascii="Cambria" w:eastAsia="MS Mincho" w:hAnsi="Cambria" w:cs="Times New Roman"/>
      <w:sz w:val="24"/>
      <w:szCs w:val="24"/>
    </w:rPr>
  </w:style>
  <w:style w:type="paragraph" w:customStyle="1" w:styleId="TOCHeading1">
    <w:name w:val="TOC Heading1"/>
    <w:basedOn w:val="Heading1"/>
    <w:next w:val="Normal"/>
    <w:uiPriority w:val="39"/>
    <w:qFormat/>
    <w:rsid w:val="00E445B8"/>
    <w:pPr>
      <w:spacing w:before="0" w:after="480" w:line="240" w:lineRule="atLeast"/>
      <w:outlineLvl w:val="9"/>
    </w:pPr>
    <w:rPr>
      <w:rFonts w:ascii="Georgia" w:eastAsia="Times New Roman" w:hAnsi="Georgia" w:cs="Times New Roman"/>
      <w:i/>
      <w:color w:val="auto"/>
    </w:rPr>
  </w:style>
  <w:style w:type="paragraph" w:customStyle="1" w:styleId="ColorfulList-Accent11">
    <w:name w:val="Colorful List - Accent 11"/>
    <w:basedOn w:val="Normal"/>
    <w:uiPriority w:val="99"/>
    <w:qFormat/>
    <w:rsid w:val="00E445B8"/>
    <w:pPr>
      <w:spacing w:after="0" w:line="240" w:lineRule="auto"/>
      <w:ind w:left="720"/>
    </w:pPr>
    <w:rPr>
      <w:rFonts w:ascii="Cambria" w:eastAsia="MS Mincho" w:hAnsi="Cambria" w:cs="Times New Roman"/>
      <w:sz w:val="24"/>
      <w:szCs w:val="24"/>
    </w:rPr>
  </w:style>
  <w:style w:type="character" w:customStyle="1" w:styleId="BookTitle1">
    <w:name w:val="Book Title1"/>
    <w:uiPriority w:val="69"/>
    <w:qFormat/>
    <w:rsid w:val="00E445B8"/>
    <w:rPr>
      <w:b/>
      <w:bCs/>
      <w:smallCaps/>
      <w:spacing w:val="5"/>
    </w:rPr>
  </w:style>
  <w:style w:type="paragraph" w:styleId="BalloonText">
    <w:name w:val="Balloon Text"/>
    <w:basedOn w:val="Normal"/>
    <w:link w:val="BalloonTextChar"/>
    <w:uiPriority w:val="99"/>
    <w:semiHidden/>
    <w:unhideWhenUsed/>
    <w:rsid w:val="009D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72"/>
    <w:rPr>
      <w:rFonts w:ascii="Segoe UI" w:hAnsi="Segoe UI" w:cs="Segoe UI"/>
      <w:sz w:val="18"/>
      <w:szCs w:val="18"/>
      <w:lang w:val="en-US"/>
    </w:rPr>
  </w:style>
  <w:style w:type="paragraph" w:styleId="Title">
    <w:name w:val="Title"/>
    <w:basedOn w:val="Normal"/>
    <w:next w:val="Normal"/>
    <w:link w:val="TitleChar"/>
    <w:uiPriority w:val="10"/>
    <w:qFormat/>
    <w:rsid w:val="009D567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D5672"/>
    <w:rPr>
      <w:rFonts w:ascii="Cambria" w:eastAsia="Times New Roman" w:hAnsi="Cambria" w:cs="Times New Roman"/>
      <w:b/>
      <w:bCs/>
      <w:kern w:val="28"/>
      <w:sz w:val="32"/>
      <w:szCs w:val="32"/>
      <w:lang w:val="en-US"/>
    </w:rPr>
  </w:style>
  <w:style w:type="character" w:customStyle="1" w:styleId="UnresolvedMention1">
    <w:name w:val="Unresolved Mention1"/>
    <w:basedOn w:val="DefaultParagraphFont"/>
    <w:uiPriority w:val="99"/>
    <w:semiHidden/>
    <w:unhideWhenUsed/>
    <w:rsid w:val="00750648"/>
    <w:rPr>
      <w:color w:val="605E5C"/>
      <w:shd w:val="clear" w:color="auto" w:fill="E1DFDD"/>
    </w:rPr>
  </w:style>
  <w:style w:type="table" w:styleId="TableGrid">
    <w:name w:val="Table Grid"/>
    <w:basedOn w:val="TableNormal"/>
    <w:uiPriority w:val="39"/>
    <w:rsid w:val="007876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NUMBERED PARAGRAPH,List Paragraph 1,References,ReferencesCxSpLast,lp1,Bullets,Use Case List Paragraph,Bullet paras,List Paragraph Char Char Char,Main numbered paragraph,IFCL - new bullets"/>
    <w:basedOn w:val="Normal"/>
    <w:link w:val="ListParagraphChar"/>
    <w:uiPriority w:val="34"/>
    <w:qFormat/>
    <w:rsid w:val="007876A8"/>
    <w:pPr>
      <w:spacing w:after="0" w:line="240" w:lineRule="auto"/>
      <w:ind w:left="720"/>
      <w:contextualSpacing/>
    </w:pPr>
    <w:rPr>
      <w:rFonts w:ascii="Times New Roman" w:eastAsia="Times New Roman" w:hAnsi="Times New Roman" w:cs="Times New Roman"/>
      <w:sz w:val="24"/>
      <w:szCs w:val="24"/>
    </w:rPr>
  </w:style>
  <w:style w:type="table" w:styleId="LightList-Accent1">
    <w:name w:val="Light List Accent 1"/>
    <w:basedOn w:val="TableNormal"/>
    <w:uiPriority w:val="61"/>
    <w:rsid w:val="001C573F"/>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DF5DFB"/>
    <w:rPr>
      <w:sz w:val="16"/>
      <w:szCs w:val="16"/>
    </w:rPr>
  </w:style>
  <w:style w:type="paragraph" w:styleId="CommentText">
    <w:name w:val="annotation text"/>
    <w:basedOn w:val="Normal"/>
    <w:link w:val="CommentTextChar"/>
    <w:uiPriority w:val="99"/>
    <w:unhideWhenUsed/>
    <w:rsid w:val="00DF5DFB"/>
    <w:pPr>
      <w:spacing w:line="240" w:lineRule="auto"/>
    </w:pPr>
    <w:rPr>
      <w:sz w:val="20"/>
      <w:szCs w:val="20"/>
    </w:rPr>
  </w:style>
  <w:style w:type="character" w:customStyle="1" w:styleId="CommentTextChar">
    <w:name w:val="Comment Text Char"/>
    <w:basedOn w:val="DefaultParagraphFont"/>
    <w:link w:val="CommentText"/>
    <w:uiPriority w:val="99"/>
    <w:rsid w:val="00DF5DFB"/>
    <w:rPr>
      <w:sz w:val="20"/>
      <w:szCs w:val="20"/>
      <w:lang w:val="en-US"/>
    </w:rPr>
  </w:style>
  <w:style w:type="paragraph" w:styleId="CommentSubject">
    <w:name w:val="annotation subject"/>
    <w:basedOn w:val="CommentText"/>
    <w:next w:val="CommentText"/>
    <w:link w:val="CommentSubjectChar"/>
    <w:uiPriority w:val="99"/>
    <w:semiHidden/>
    <w:unhideWhenUsed/>
    <w:rsid w:val="00DF5DFB"/>
    <w:rPr>
      <w:b/>
      <w:bCs/>
    </w:rPr>
  </w:style>
  <w:style w:type="character" w:customStyle="1" w:styleId="CommentSubjectChar">
    <w:name w:val="Comment Subject Char"/>
    <w:basedOn w:val="CommentTextChar"/>
    <w:link w:val="CommentSubject"/>
    <w:uiPriority w:val="99"/>
    <w:semiHidden/>
    <w:rsid w:val="00DF5DFB"/>
    <w:rPr>
      <w:b/>
      <w:bCs/>
      <w:sz w:val="20"/>
      <w:szCs w:val="20"/>
      <w:lang w:val="en-US"/>
    </w:rPr>
  </w:style>
  <w:style w:type="character" w:customStyle="1" w:styleId="UnresolvedMention11">
    <w:name w:val="Unresolved Mention11"/>
    <w:basedOn w:val="DefaultParagraphFont"/>
    <w:uiPriority w:val="99"/>
    <w:semiHidden/>
    <w:unhideWhenUsed/>
    <w:rsid w:val="00CB7C9A"/>
    <w:rPr>
      <w:color w:val="605E5C"/>
      <w:shd w:val="clear" w:color="auto" w:fill="E1DFDD"/>
    </w:rPr>
  </w:style>
  <w:style w:type="paragraph" w:styleId="Revision">
    <w:name w:val="Revision"/>
    <w:hidden/>
    <w:uiPriority w:val="99"/>
    <w:semiHidden/>
    <w:rsid w:val="00CB7C9A"/>
    <w:pPr>
      <w:spacing w:after="0" w:line="240" w:lineRule="auto"/>
    </w:pPr>
    <w:rPr>
      <w:lang w:val="en-US"/>
    </w:rPr>
  </w:style>
  <w:style w:type="paragraph" w:styleId="Header">
    <w:name w:val="header"/>
    <w:basedOn w:val="Normal"/>
    <w:link w:val="HeaderChar"/>
    <w:uiPriority w:val="99"/>
    <w:unhideWhenUsed/>
    <w:rsid w:val="00CB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9A"/>
    <w:rPr>
      <w:lang w:val="en-US"/>
    </w:rPr>
  </w:style>
  <w:style w:type="paragraph" w:styleId="Footer">
    <w:name w:val="footer"/>
    <w:basedOn w:val="Normal"/>
    <w:link w:val="FooterChar"/>
    <w:uiPriority w:val="99"/>
    <w:unhideWhenUsed/>
    <w:rsid w:val="00CB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9A"/>
    <w:rPr>
      <w:lang w:val="en-US"/>
    </w:rPr>
  </w:style>
  <w:style w:type="paragraph" w:customStyle="1" w:styleId="ListParagraph0">
    <w:name w:val="List Paragraph_0"/>
    <w:basedOn w:val="Normal"/>
    <w:uiPriority w:val="34"/>
    <w:qFormat/>
    <w:rsid w:val="003B4962"/>
    <w:pPr>
      <w:numPr>
        <w:numId w:val="20"/>
      </w:numPr>
      <w:spacing w:after="240" w:line="240" w:lineRule="auto"/>
      <w:jc w:val="both"/>
    </w:pPr>
    <w:rPr>
      <w:rFonts w:eastAsiaTheme="minorEastAsia" w:cs="Arial"/>
      <w:bCs/>
    </w:rPr>
  </w:style>
  <w:style w:type="paragraph" w:customStyle="1" w:styleId="Default">
    <w:name w:val="Default"/>
    <w:rsid w:val="00F76838"/>
    <w:pPr>
      <w:autoSpaceDE w:val="0"/>
      <w:autoSpaceDN w:val="0"/>
      <w:adjustRightInd w:val="0"/>
      <w:spacing w:after="0" w:line="240" w:lineRule="auto"/>
    </w:pPr>
    <w:rPr>
      <w:rFonts w:ascii="Andes" w:hAnsi="Andes" w:cs="Andes"/>
      <w:color w:val="000000"/>
      <w:sz w:val="24"/>
      <w:szCs w:val="24"/>
      <w:lang w:val="en-US"/>
    </w:rPr>
  </w:style>
  <w:style w:type="character" w:customStyle="1" w:styleId="ListParagraphChar">
    <w:name w:val="List Paragraph Char"/>
    <w:aliases w:val="Citation List Char,본문(내용) Char,List Paragraph (numbered (a)) Char,NUMBERED PARAGRAPH Char,List Paragraph 1 Char,References Char,ReferencesCxSpLast Char,lp1 Char,Bullets Char,Use Case List Paragraph Char,Bullet paras Char"/>
    <w:link w:val="ListParagraph"/>
    <w:uiPriority w:val="34"/>
    <w:qFormat/>
    <w:locked/>
    <w:rsid w:val="00E235E6"/>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E13F85"/>
    <w:rPr>
      <w:color w:val="605E5C"/>
      <w:shd w:val="clear" w:color="auto" w:fill="E1DFDD"/>
    </w:rPr>
  </w:style>
  <w:style w:type="character" w:customStyle="1" w:styleId="Heading5Char">
    <w:name w:val="Heading 5 Char"/>
    <w:basedOn w:val="DefaultParagraphFont"/>
    <w:link w:val="Heading5"/>
    <w:uiPriority w:val="9"/>
    <w:semiHidden/>
    <w:rsid w:val="00DA1CEF"/>
    <w:rPr>
      <w:rFonts w:asciiTheme="majorHAnsi" w:eastAsiaTheme="majorEastAsia" w:hAnsiTheme="majorHAnsi" w:cstheme="majorBidi"/>
      <w:color w:val="2F5496" w:themeColor="accent1" w:themeShade="BF"/>
      <w:lang w:val="en-US"/>
    </w:rPr>
  </w:style>
  <w:style w:type="character" w:customStyle="1" w:styleId="UnresolvedMention3">
    <w:name w:val="Unresolved Mention3"/>
    <w:basedOn w:val="DefaultParagraphFont"/>
    <w:uiPriority w:val="99"/>
    <w:semiHidden/>
    <w:unhideWhenUsed/>
    <w:rsid w:val="00165289"/>
    <w:rPr>
      <w:color w:val="605E5C"/>
      <w:shd w:val="clear" w:color="auto" w:fill="E1DFDD"/>
    </w:rPr>
  </w:style>
  <w:style w:type="paragraph" w:styleId="NoSpacing">
    <w:name w:val="No Spacing"/>
    <w:uiPriority w:val="1"/>
    <w:qFormat/>
    <w:rsid w:val="001E68C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822">
      <w:bodyDiv w:val="1"/>
      <w:marLeft w:val="0"/>
      <w:marRight w:val="0"/>
      <w:marTop w:val="0"/>
      <w:marBottom w:val="0"/>
      <w:divBdr>
        <w:top w:val="none" w:sz="0" w:space="0" w:color="auto"/>
        <w:left w:val="none" w:sz="0" w:space="0" w:color="auto"/>
        <w:bottom w:val="none" w:sz="0" w:space="0" w:color="auto"/>
        <w:right w:val="none" w:sz="0" w:space="0" w:color="auto"/>
      </w:divBdr>
    </w:div>
    <w:div w:id="185098713">
      <w:bodyDiv w:val="1"/>
      <w:marLeft w:val="0"/>
      <w:marRight w:val="0"/>
      <w:marTop w:val="0"/>
      <w:marBottom w:val="0"/>
      <w:divBdr>
        <w:top w:val="none" w:sz="0" w:space="0" w:color="auto"/>
        <w:left w:val="none" w:sz="0" w:space="0" w:color="auto"/>
        <w:bottom w:val="none" w:sz="0" w:space="0" w:color="auto"/>
        <w:right w:val="none" w:sz="0" w:space="0" w:color="auto"/>
      </w:divBdr>
    </w:div>
    <w:div w:id="219101698">
      <w:bodyDiv w:val="1"/>
      <w:marLeft w:val="0"/>
      <w:marRight w:val="0"/>
      <w:marTop w:val="0"/>
      <w:marBottom w:val="0"/>
      <w:divBdr>
        <w:top w:val="none" w:sz="0" w:space="0" w:color="auto"/>
        <w:left w:val="none" w:sz="0" w:space="0" w:color="auto"/>
        <w:bottom w:val="none" w:sz="0" w:space="0" w:color="auto"/>
        <w:right w:val="none" w:sz="0" w:space="0" w:color="auto"/>
      </w:divBdr>
    </w:div>
    <w:div w:id="405037225">
      <w:bodyDiv w:val="1"/>
      <w:marLeft w:val="0"/>
      <w:marRight w:val="0"/>
      <w:marTop w:val="0"/>
      <w:marBottom w:val="0"/>
      <w:divBdr>
        <w:top w:val="none" w:sz="0" w:space="0" w:color="auto"/>
        <w:left w:val="none" w:sz="0" w:space="0" w:color="auto"/>
        <w:bottom w:val="none" w:sz="0" w:space="0" w:color="auto"/>
        <w:right w:val="none" w:sz="0" w:space="0" w:color="auto"/>
      </w:divBdr>
    </w:div>
    <w:div w:id="733357503">
      <w:bodyDiv w:val="1"/>
      <w:marLeft w:val="0"/>
      <w:marRight w:val="0"/>
      <w:marTop w:val="0"/>
      <w:marBottom w:val="0"/>
      <w:divBdr>
        <w:top w:val="none" w:sz="0" w:space="0" w:color="auto"/>
        <w:left w:val="none" w:sz="0" w:space="0" w:color="auto"/>
        <w:bottom w:val="none" w:sz="0" w:space="0" w:color="auto"/>
        <w:right w:val="none" w:sz="0" w:space="0" w:color="auto"/>
      </w:divBdr>
    </w:div>
    <w:div w:id="833184143">
      <w:bodyDiv w:val="1"/>
      <w:marLeft w:val="0"/>
      <w:marRight w:val="0"/>
      <w:marTop w:val="0"/>
      <w:marBottom w:val="0"/>
      <w:divBdr>
        <w:top w:val="none" w:sz="0" w:space="0" w:color="auto"/>
        <w:left w:val="none" w:sz="0" w:space="0" w:color="auto"/>
        <w:bottom w:val="none" w:sz="0" w:space="0" w:color="auto"/>
        <w:right w:val="none" w:sz="0" w:space="0" w:color="auto"/>
      </w:divBdr>
    </w:div>
    <w:div w:id="964115877">
      <w:bodyDiv w:val="1"/>
      <w:marLeft w:val="0"/>
      <w:marRight w:val="0"/>
      <w:marTop w:val="0"/>
      <w:marBottom w:val="0"/>
      <w:divBdr>
        <w:top w:val="none" w:sz="0" w:space="0" w:color="auto"/>
        <w:left w:val="none" w:sz="0" w:space="0" w:color="auto"/>
        <w:bottom w:val="none" w:sz="0" w:space="0" w:color="auto"/>
        <w:right w:val="none" w:sz="0" w:space="0" w:color="auto"/>
      </w:divBdr>
    </w:div>
    <w:div w:id="1132943744">
      <w:bodyDiv w:val="1"/>
      <w:marLeft w:val="0"/>
      <w:marRight w:val="0"/>
      <w:marTop w:val="0"/>
      <w:marBottom w:val="0"/>
      <w:divBdr>
        <w:top w:val="none" w:sz="0" w:space="0" w:color="auto"/>
        <w:left w:val="none" w:sz="0" w:space="0" w:color="auto"/>
        <w:bottom w:val="none" w:sz="0" w:space="0" w:color="auto"/>
        <w:right w:val="none" w:sz="0" w:space="0" w:color="auto"/>
      </w:divBdr>
    </w:div>
    <w:div w:id="1271627111">
      <w:bodyDiv w:val="1"/>
      <w:marLeft w:val="0"/>
      <w:marRight w:val="0"/>
      <w:marTop w:val="0"/>
      <w:marBottom w:val="0"/>
      <w:divBdr>
        <w:top w:val="none" w:sz="0" w:space="0" w:color="auto"/>
        <w:left w:val="none" w:sz="0" w:space="0" w:color="auto"/>
        <w:bottom w:val="none" w:sz="0" w:space="0" w:color="auto"/>
        <w:right w:val="none" w:sz="0" w:space="0" w:color="auto"/>
      </w:divBdr>
    </w:div>
    <w:div w:id="1372266009">
      <w:bodyDiv w:val="1"/>
      <w:marLeft w:val="0"/>
      <w:marRight w:val="0"/>
      <w:marTop w:val="0"/>
      <w:marBottom w:val="0"/>
      <w:divBdr>
        <w:top w:val="none" w:sz="0" w:space="0" w:color="auto"/>
        <w:left w:val="none" w:sz="0" w:space="0" w:color="auto"/>
        <w:bottom w:val="none" w:sz="0" w:space="0" w:color="auto"/>
        <w:right w:val="none" w:sz="0" w:space="0" w:color="auto"/>
      </w:divBdr>
    </w:div>
    <w:div w:id="1413118330">
      <w:bodyDiv w:val="1"/>
      <w:marLeft w:val="0"/>
      <w:marRight w:val="0"/>
      <w:marTop w:val="0"/>
      <w:marBottom w:val="0"/>
      <w:divBdr>
        <w:top w:val="none" w:sz="0" w:space="0" w:color="auto"/>
        <w:left w:val="none" w:sz="0" w:space="0" w:color="auto"/>
        <w:bottom w:val="none" w:sz="0" w:space="0" w:color="auto"/>
        <w:right w:val="none" w:sz="0" w:space="0" w:color="auto"/>
      </w:divBdr>
    </w:div>
    <w:div w:id="161710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ilpa.org/model-sub-agre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ccesstofinance@dbankjm.com" TargetMode="Externa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6624a1a87d361926d74ce6d21d47fd24">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723fb26d4f12ca3825aebf2edaea5265"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60E6-CF7A-47F9-B24E-F33C4CBB53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A3822-14C5-4178-87CE-5A36DF72F7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EF359-79FD-4BAB-A7B3-A7C2AFC11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FDD86-7129-4D9D-93C7-D62105CADDBD}">
  <ds:schemaRefs>
    <ds:schemaRef ds:uri="http://schemas.microsoft.com/sharepoint/v3/contenttype/forms"/>
  </ds:schemaRefs>
</ds:datastoreItem>
</file>

<file path=customXml/itemProps5.xml><?xml version="1.0" encoding="utf-8"?>
<ds:datastoreItem xmlns:ds="http://schemas.openxmlformats.org/officeDocument/2006/customXml" ds:itemID="{E47E3EA8-2332-4D83-AD71-6428DFFC8837}">
  <ds:schemaRefs>
    <ds:schemaRef ds:uri="http://schemas.microsoft.com/sharepoint/v3/contenttype/forms"/>
  </ds:schemaRefs>
</ds:datastoreItem>
</file>

<file path=customXml/itemProps6.xml><?xml version="1.0" encoding="utf-8"?>
<ds:datastoreItem xmlns:ds="http://schemas.openxmlformats.org/officeDocument/2006/customXml" ds:itemID="{D93A0E23-7B52-472A-934B-676BF853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7903</Words>
  <Characters>45050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Grant</dc:creator>
  <cp:keywords/>
  <dc:description/>
  <cp:lastModifiedBy>Peter Moulton</cp:lastModifiedBy>
  <cp:revision>2</cp:revision>
  <cp:lastPrinted>2021-11-23T15:32:00Z</cp:lastPrinted>
  <dcterms:created xsi:type="dcterms:W3CDTF">2021-12-22T21:05:00Z</dcterms:created>
  <dcterms:modified xsi:type="dcterms:W3CDTF">2021-12-22T21:05:00Z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